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：制浆分厂1#木片仓2316喂料螺旋修理</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2.1螺旋的基本尺寸参数如下：</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螺旋尺寸见附图，图中尺寸仅供参考，具体以实际测量为准。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 xml:space="preserve">螺旋钢管轴直径Φ=250mm~508mm； </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螺旋长度约L= 8000mm；</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叶片高度H=110mm～200mm；</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螺距P=360mm～780mm；</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叶片总圈数约12圈。</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2.2项目要求：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2.2.1螺旋距离轴头约1.5米处裂断（见图片），用焊接法重新连接，断口处壁厚约35~40mm。</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2.2.2螺旋轴管内外需要加固，螺旋轴材质为Q345R。</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2.2.3修理部分的叶片修复，叶片材质为Q345，叶片厚度为16mm。叶片与管轴采用双面连续焊缝，叶片突出耙齿镶嵌焊接，嵌入叶片深度约为20mm，耙齿甲供。</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修理部位的包覆3Cr13钢板修复，钢板厚度δ=3mm， 钢板表面淬火，提高耐磨性和强度，所有连接处焊缝须用耐磨焊条堆焊，焊缝高度为6mm，焊缝宽度为10mm，螺旋轴表面的氧化层及部分耐磨层须处理干净，要保证修理后的螺旋不能有变形和影响正常使用。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2.2.4投标方到现场作技术交流，明确具体的工作任务。</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2.3项目采用乙方包工包料模式承接。</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2.4投标人投标时应提供项目修理方案，项目修理方案应详细说明焊接工艺和焊后热处理工艺，方案中还应有安全措施及专项防火方案，螺旋的找正方案和找正精度必须在修理方案中说明。同时应有修理进度计划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2.5安全技术要求：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eastAsia="zh-CN"/>
        </w:rPr>
        <w:t>螺旋大修施工现场（木片堆场）属于一级防火区，为杜绝施工造成周边堆场易燃生产物料及飞扬的木屑引起火灾隐患。为了保证施工现场的安全，投标单位必须提前制定详细可行的安全技术措施，落实项目责任人和现场专职安全管理员，建立健全工程项目安全规章制度和安全操作规程。</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工期及地点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3.1工期：投标人承诺最短施工工期及备料工期。</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3.2地点：福建省三明市沙县区青州镇福建省青山纸业股份有限公司指定区域内。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4.1</w:t>
      </w:r>
      <w:r>
        <w:rPr>
          <w:rFonts w:hint="eastAsia" w:ascii="Times New Roman" w:hAnsi="Times New Roman" w:eastAsia="宋体"/>
          <w:b w:val="0"/>
          <w:bCs/>
          <w:color w:val="auto"/>
          <w:sz w:val="24"/>
          <w:szCs w:val="24"/>
        </w:rPr>
        <w:t>投标人应是具备独立法人资格，有资质和有能力提供服务、信用良好的国内企业。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4</w:t>
      </w:r>
      <w:r>
        <w:rPr>
          <w:rFonts w:hint="eastAsia" w:ascii="Times New Roman" w:hAnsi="Times New Roman" w:eastAsia="宋体"/>
          <w:b w:val="0"/>
          <w:bCs/>
          <w:color w:val="auto"/>
          <w:sz w:val="24"/>
          <w:szCs w:val="24"/>
        </w:rPr>
        <w:t>.2投标人近三年具有螺旋修理的业绩一次以上，提供业绩合同复印件。</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5.双方职责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.1招标方负责提供现场照明、水源、施工电源（含费用），招标方负责现场清理至施工合理要求。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2投标方应提供施工方案（包括安全措施），施工现场周边为一级防火区，中标方应提供专项防火施工方案。投标方需提供详细技术施工方案、施工工期，并按双方最终确定改造方案实施。投标方对改造方案的合理性、可行性负责，并应在投标时做出质量和技术指标的承诺。中标方制作完成应提供相关检验材料及证明。施工前须办理开工报告，并交纳安全保证金5000元。</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.3中标方包工包料进行施工。项目所需的主材、辅材及焊接、打磨、修补的材料及施工均由中标方负责。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.4施工方自备所有施工工具。</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.5运输费用、起重作业、脚手架、食宿由施工方负责。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.6每道工序施工前必须由招标方指定人员确认前道工序合格后方可施工。</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7施工方在施工过程中应采取必要的安全防范措施，施工期确保招标方设备的安全，若施工方原因造成设备的损坏，施工方应负责赔偿损失。施工现场周边为一级防火区，为保证项目的安全管理工作，专职安全员均应到场，并尽职履行现场安全管理责任。</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.8施工方在施工过程中废弃的物品应堆放在招标方指定的地点。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w:t>
      </w:r>
      <w:r>
        <w:rPr>
          <w:rFonts w:hint="default" w:ascii="Times New Roman" w:hAnsi="Times New Roman" w:eastAsia="宋体"/>
          <w:b w:val="0"/>
          <w:bCs w:val="0"/>
          <w:color w:val="auto"/>
          <w:sz w:val="24"/>
          <w:szCs w:val="24"/>
          <w:lang w:val="en-US" w:eastAsia="zh-CN"/>
        </w:rPr>
        <w:t>.9施工方施工垃圾应及时清理干净，保持现场整洁。</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6.安全责任</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.1</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方在施工工程中必须严格遵守国家、建设部、福建省等有关安全技术规范及中华人民共和国现行的法律、法规、政策、规定和规章中关于安全、劳保、防疫、卫生的条例。</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.2</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方必须对工作过程中的安全和损失预防的程序负责。</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方施工前须按规定办理开工报告并交纳安全保证金5000元。</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方施工前必须签署安全协议书</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.3</w:t>
      </w:r>
      <w:r>
        <w:rPr>
          <w:rFonts w:hint="eastAsia" w:ascii="Times New Roman" w:hAnsi="Times New Roman" w:eastAsia="宋体"/>
          <w:b w:val="0"/>
          <w:bCs w:val="0"/>
          <w:color w:val="auto"/>
          <w:sz w:val="24"/>
          <w:szCs w:val="24"/>
          <w:lang w:val="en-US" w:eastAsia="zh-CN"/>
        </w:rPr>
        <w:t>招标</w:t>
      </w:r>
      <w:r>
        <w:rPr>
          <w:rFonts w:hint="default" w:ascii="Times New Roman" w:hAnsi="Times New Roman" w:eastAsia="宋体"/>
          <w:b w:val="0"/>
          <w:bCs w:val="0"/>
          <w:color w:val="auto"/>
          <w:sz w:val="24"/>
          <w:szCs w:val="24"/>
          <w:lang w:val="en-US" w:eastAsia="zh-CN"/>
        </w:rPr>
        <w:t>方所支付管理费中已包含安全管理费用，</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方应根据有关劳保规定发给其所属人员必要的个人防护用品，以保障安全。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.4</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方按有关规定，采取严格的安全防护措施。</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方应承担该项目由于自身安全措施不力造成安全事故的责任和因此发生的费用。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.5发生重大伤亡事故，</w:t>
      </w:r>
      <w:r>
        <w:rPr>
          <w:rFonts w:hint="eastAsia" w:ascii="Times New Roman" w:hAnsi="Times New Roman" w:eastAsia="宋体"/>
          <w:b w:val="0"/>
          <w:bCs w:val="0"/>
          <w:color w:val="auto"/>
          <w:sz w:val="24"/>
          <w:szCs w:val="24"/>
          <w:lang w:val="en-US" w:eastAsia="zh-CN"/>
        </w:rPr>
        <w:t>中标</w:t>
      </w:r>
      <w:r>
        <w:rPr>
          <w:rFonts w:hint="default" w:ascii="Times New Roman" w:hAnsi="Times New Roman" w:eastAsia="宋体"/>
          <w:b w:val="0"/>
          <w:bCs w:val="0"/>
          <w:color w:val="auto"/>
          <w:sz w:val="24"/>
          <w:szCs w:val="24"/>
          <w:lang w:val="en-US" w:eastAsia="zh-CN"/>
        </w:rPr>
        <w:t>方应按有关规定立即上报有关部门并通知</w:t>
      </w:r>
      <w:r>
        <w:rPr>
          <w:rFonts w:hint="eastAsia" w:ascii="Times New Roman" w:hAnsi="Times New Roman" w:eastAsia="宋体"/>
          <w:b w:val="0"/>
          <w:bCs w:val="0"/>
          <w:color w:val="auto"/>
          <w:sz w:val="24"/>
          <w:szCs w:val="24"/>
          <w:lang w:val="en-US" w:eastAsia="zh-CN"/>
        </w:rPr>
        <w:t>招标</w:t>
      </w:r>
      <w:r>
        <w:rPr>
          <w:rFonts w:hint="default" w:ascii="Times New Roman" w:hAnsi="Times New Roman" w:eastAsia="宋体"/>
          <w:b w:val="0"/>
          <w:bCs w:val="0"/>
          <w:color w:val="auto"/>
          <w:sz w:val="24"/>
          <w:szCs w:val="24"/>
          <w:lang w:val="en-US" w:eastAsia="zh-CN"/>
        </w:rPr>
        <w:t>方代表。同时按政府有关部门要求处理。</w:t>
      </w:r>
      <w:r>
        <w:rPr>
          <w:rFonts w:hint="eastAsia" w:ascii="Times New Roman" w:hAnsi="Times New Roman" w:eastAsia="宋体"/>
          <w:b w:val="0"/>
          <w:bCs w:val="0"/>
          <w:color w:val="auto"/>
          <w:sz w:val="24"/>
          <w:szCs w:val="24"/>
          <w:lang w:val="en-US" w:eastAsia="zh-CN"/>
        </w:rPr>
        <w:t>招标</w:t>
      </w:r>
      <w:r>
        <w:rPr>
          <w:rFonts w:hint="default" w:ascii="Times New Roman" w:hAnsi="Times New Roman" w:eastAsia="宋体"/>
          <w:b w:val="0"/>
          <w:bCs w:val="0"/>
          <w:color w:val="auto"/>
          <w:sz w:val="24"/>
          <w:szCs w:val="24"/>
          <w:lang w:val="en-US" w:eastAsia="zh-CN"/>
        </w:rPr>
        <w:t>方为抢救提供必要条件。发生的费用由事故责任方承担。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：质量保证期为验收合格后12个月，投标人可承诺更长的质保期。</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default"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：本工程不支付预付款和工程进度款，工程验收合格后招标方财务部收到全额发票45天支付工程总合同价的90%（银行承兑汇票），质保金为总合同价的10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，在质保期满后三十天内付清，质保金不计利息。人民币报价和结算，中标人开具增值税专用发票。</w:t>
      </w:r>
      <w:r>
        <w:rPr>
          <w:rFonts w:hint="eastAsia" w:ascii="Times New Roman" w:hAnsi="Times New Roman" w:eastAsia="宋体"/>
          <w:b/>
          <w:bCs w:val="0"/>
          <w:color w:val="auto"/>
          <w:sz w:val="24"/>
          <w:szCs w:val="24"/>
          <w:lang w:eastAsia="zh-CN"/>
        </w:rPr>
        <w:t>付款方式不得偏离，否则投标将被否决</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本次招标采取一次性报价方式。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2报价为含增值税价格（投标报价时请注明发票税率），以一票制方式结算。</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9.3本项目设置招标控制价为</w:t>
      </w:r>
      <w:r>
        <w:rPr>
          <w:rFonts w:hint="eastAsia" w:ascii="Times New Roman" w:hAnsi="Times New Roman" w:eastAsia="宋体"/>
          <w:b/>
          <w:bCs/>
          <w:color w:val="auto"/>
          <w:sz w:val="24"/>
          <w:szCs w:val="24"/>
          <w:lang w:val="en-US" w:eastAsia="zh-CN"/>
        </w:rPr>
        <w:t>壹拾柒万元整（¥170000）</w:t>
      </w:r>
      <w:r>
        <w:rPr>
          <w:rFonts w:hint="eastAsia" w:ascii="Times New Roman" w:hAnsi="Times New Roman" w:eastAsia="宋体"/>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10.2投标人报价超过招标控制价的，则否决其投标。</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w:t>
            </w:r>
            <w:r>
              <w:rPr>
                <w:rFonts w:hint="eastAsia" w:ascii="Times New Roman" w:hAnsi="Times New Roman" w:eastAsia="宋体" w:cs="Times New Roman"/>
                <w:color w:val="auto"/>
                <w:kern w:val="0"/>
                <w:szCs w:val="21"/>
                <w:lang w:val="en-US" w:eastAsia="zh-CN"/>
              </w:rPr>
              <w:t>4</w:t>
            </w:r>
            <w:r>
              <w:rPr>
                <w:rFonts w:hint="eastAsia" w:ascii="Times New Roman" w:hAnsi="Times New Roman" w:eastAsia="宋体" w:cs="Times New Roman"/>
                <w:color w:val="auto"/>
                <w:kern w:val="0"/>
                <w:szCs w:val="21"/>
              </w:rPr>
              <w:t>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w:t>
            </w:r>
            <w:r>
              <w:rPr>
                <w:rFonts w:hint="eastAsia" w:ascii="Times New Roman" w:hAnsi="Times New Roman" w:eastAsia="宋体" w:cs="Times New Roman"/>
                <w:color w:val="auto"/>
                <w:kern w:val="0"/>
                <w:szCs w:val="21"/>
                <w:lang w:val="en-US" w:eastAsia="zh-CN"/>
              </w:rPr>
              <w:t xml:space="preserve">  </w:t>
            </w:r>
            <w:r>
              <w:rPr>
                <w:rFonts w:hint="eastAsia" w:ascii="Times New Roman" w:hAnsi="Times New Roman" w:eastAsia="宋体" w:cs="Times New Roman"/>
                <w:color w:val="auto"/>
                <w:kern w:val="0"/>
                <w:szCs w:val="21"/>
              </w:rPr>
              <w:t>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施工方案：总分</w:t>
            </w:r>
            <w:r>
              <w:rPr>
                <w:rFonts w:hint="eastAsia" w:ascii="Times New Roman" w:hAnsi="Times New Roman" w:eastAsia="宋体" w:cs="Times New Roman"/>
                <w:color w:val="auto"/>
                <w:kern w:val="0"/>
                <w:szCs w:val="21"/>
                <w:lang w:val="en-US" w:eastAsia="zh-CN"/>
              </w:rPr>
              <w:t>25</w:t>
            </w:r>
            <w:r>
              <w:rPr>
                <w:rFonts w:hint="default" w:ascii="Times New Roman" w:hAnsi="Times New Roman" w:eastAsia="宋体" w:cs="Times New Roman"/>
                <w:color w:val="auto"/>
                <w:kern w:val="0"/>
                <w:szCs w:val="21"/>
                <w:lang w:val="en-US" w:eastAsia="zh-CN"/>
              </w:rPr>
              <w:t>分（修理方案、图纸、焊接工艺和焊后热处理工艺、材料等）；</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安全措施：3分；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专项防火技术方案：2分；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④</w:t>
            </w:r>
            <w:r>
              <w:rPr>
                <w:rFonts w:hint="default" w:ascii="Times New Roman" w:hAnsi="Times New Roman" w:eastAsia="宋体" w:cs="Times New Roman"/>
                <w:color w:val="auto"/>
                <w:kern w:val="0"/>
                <w:szCs w:val="21"/>
                <w:lang w:val="en-US" w:eastAsia="zh-CN"/>
              </w:rPr>
              <w:t>工期：5分，最短工期得最高分，其他按比例打分。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F=</w:t>
            </w:r>
            <w:r>
              <w:rPr>
                <w:rFonts w:hint="eastAsia" w:ascii="Times New Roman" w:hAnsi="Times New Roman" w:eastAsia="宋体" w:cs="Times New Roman"/>
                <w:color w:val="auto"/>
                <w:kern w:val="0"/>
                <w:szCs w:val="21"/>
                <w:lang w:val="en-US" w:eastAsia="zh-CN"/>
              </w:rPr>
              <w:t>5-</w:t>
            </w:r>
            <w:r>
              <w:rPr>
                <w:rFonts w:hint="default" w:ascii="Times New Roman" w:hAnsi="Times New Roman" w:eastAsia="宋体" w:cs="Times New Roman"/>
                <w:color w:val="auto"/>
                <w:kern w:val="0"/>
                <w:szCs w:val="21"/>
                <w:lang w:val="en-US" w:eastAsia="zh-CN"/>
              </w:rPr>
              <w:t>（A-AD）÷（AG-AD）×5</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⑤</w:t>
            </w:r>
            <w:r>
              <w:rPr>
                <w:rFonts w:hint="default" w:ascii="Times New Roman" w:hAnsi="Times New Roman" w:eastAsia="宋体" w:cs="Times New Roman"/>
                <w:color w:val="auto"/>
                <w:kern w:val="0"/>
                <w:szCs w:val="21"/>
                <w:lang w:val="en-US" w:eastAsia="zh-CN"/>
              </w:rPr>
              <w:t>不满足施工安全及技术要求的，按废标处理。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①类似业绩：3分（三年内螺旋修理的合同业绩，每份合同2分，封顶3分）；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②质保承诺：2分（1年1分，1年以上每增加六个月得1分，最高2分）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rPr>
        <w:t>1</w:t>
      </w:r>
      <w:r>
        <w:rPr>
          <w:rFonts w:ascii="Times New Roman" w:hAnsi="Times New Roman" w:eastAsia="宋体"/>
          <w:color w:val="auto"/>
          <w:sz w:val="24"/>
          <w:szCs w:val="24"/>
        </w:rPr>
        <w:t>现场：</w:t>
      </w:r>
      <w:r>
        <w:rPr>
          <w:rFonts w:hint="eastAsia" w:ascii="Times New Roman" w:hAnsi="Times New Roman" w:eastAsia="宋体"/>
          <w:color w:val="auto"/>
          <w:sz w:val="24"/>
          <w:szCs w:val="24"/>
        </w:rPr>
        <w:t>参与现场投标的，投标人应于开标之前将投标文件送至青山纸业文化楼4楼招标办会议室。到会议现场参加开标的投标人代表，须遵守沙县政府和本公司关于新冠肺炎疫情防控的相关规定。</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.2.2邮寄：以邮寄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lang w:val="en-US" w:eastAsia="zh-CN"/>
        </w:rPr>
        <w:t>34</w:t>
      </w:r>
      <w:r>
        <w:rPr>
          <w:rFonts w:hint="eastAsia" w:ascii="Times New Roman" w:hAnsi="Times New Roman" w:eastAsia="宋体"/>
          <w:color w:val="auto"/>
          <w:sz w:val="24"/>
          <w:szCs w:val="24"/>
          <w:highlight w:val="none"/>
          <w:lang w:val="en-US" w:eastAsia="zh-CN"/>
        </w:rPr>
        <w:t>00</w:t>
      </w:r>
      <w:r>
        <w:rPr>
          <w:rFonts w:ascii="Times New Roman" w:hAnsi="Times New Roman" w:eastAsia="宋体"/>
          <w:color w:val="auto"/>
          <w:sz w:val="24"/>
          <w:szCs w:val="24"/>
        </w:rPr>
        <w:t>元。</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.2.2投标保证金函；若本公司与投标人尚有</w:t>
      </w:r>
      <w:r>
        <w:rPr>
          <w:rFonts w:hint="eastAsia" w:ascii="Times New Roman" w:hAnsi="Times New Roman" w:eastAsia="宋体"/>
          <w:color w:val="auto"/>
          <w:sz w:val="24"/>
          <w:szCs w:val="24"/>
          <w:lang w:eastAsia="zh-CN"/>
        </w:rPr>
        <w:t>合同已履行完成的</w:t>
      </w:r>
      <w:r>
        <w:rPr>
          <w:rFonts w:hint="eastAsia" w:ascii="Times New Roman" w:hAnsi="Times New Roman" w:eastAsia="宋体"/>
          <w:b w:val="0"/>
          <w:bCs w:val="0"/>
          <w:color w:val="auto"/>
          <w:sz w:val="24"/>
          <w:szCs w:val="24"/>
          <w:lang w:eastAsia="zh-CN"/>
        </w:rPr>
        <w:t>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.5中标的投标人的投标保证金，将在中标人签订合同时转为履约保证金，合同按时履行完毕后予以原额退还，以未结货款转抵形式的将转回未结货款并按正常渠道结算。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w:t>
      </w:r>
      <w:r>
        <w:rPr>
          <w:rFonts w:hint="eastAsia" w:ascii="Times New Roman" w:hAnsi="Times New Roman" w:eastAsia="宋体"/>
          <w:color w:val="auto"/>
          <w:sz w:val="24"/>
          <w:szCs w:val="24"/>
          <w:lang w:eastAsia="zh-CN"/>
        </w:rPr>
        <w:t>其他</w:t>
      </w:r>
      <w:r>
        <w:rPr>
          <w:rFonts w:hint="eastAsia" w:ascii="Times New Roman" w:hAnsi="Times New Roman" w:eastAsia="宋体"/>
          <w:color w:val="auto"/>
          <w:sz w:val="24"/>
          <w:szCs w:val="24"/>
        </w:rPr>
        <w:t>证明</w:t>
      </w:r>
      <w:r>
        <w:rPr>
          <w:rFonts w:hint="eastAsia" w:ascii="Times New Roman" w:hAnsi="Times New Roman" w:eastAsia="宋体"/>
          <w:color w:val="auto"/>
          <w:sz w:val="24"/>
          <w:szCs w:val="24"/>
          <w:lang w:eastAsia="zh-CN"/>
        </w:rPr>
        <w:t>材</w:t>
      </w:r>
      <w:r>
        <w:rPr>
          <w:rFonts w:hint="eastAsia" w:ascii="Times New Roman" w:hAnsi="Times New Roman" w:eastAsia="宋体"/>
          <w:color w:val="auto"/>
          <w:sz w:val="24"/>
          <w:szCs w:val="24"/>
        </w:rPr>
        <w:t>料；</w:t>
      </w:r>
      <w:r>
        <w:rPr>
          <w:rFonts w:hint="eastAsia" w:ascii="Times New Roman" w:hAnsi="Times New Roman" w:eastAsia="宋体"/>
          <w:color w:val="auto"/>
          <w:sz w:val="24"/>
          <w:szCs w:val="24"/>
          <w:lang w:val="en-US" w:eastAsia="zh-CN"/>
        </w:rPr>
        <w:t>c</w:t>
      </w:r>
      <w:r>
        <w:rPr>
          <w:rFonts w:hint="eastAsia" w:ascii="Times New Roman" w:hAnsi="Times New Roman" w:eastAsia="宋体"/>
          <w:color w:val="auto"/>
          <w:sz w:val="24"/>
          <w:szCs w:val="24"/>
        </w:rPr>
        <w:t>.</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d</w:t>
      </w:r>
      <w:r>
        <w:rPr>
          <w:rFonts w:ascii="Times New Roman" w:hAnsi="Times New Roman" w:eastAsia="宋体"/>
          <w:color w:val="auto"/>
          <w:sz w:val="24"/>
          <w:szCs w:val="24"/>
        </w:rPr>
        <w:t>.</w:t>
      </w:r>
      <w:r>
        <w:rPr>
          <w:rFonts w:hint="eastAsia" w:ascii="Times New Roman" w:hAnsi="Times New Roman" w:eastAsia="宋体"/>
          <w:color w:val="auto"/>
          <w:sz w:val="24"/>
          <w:szCs w:val="24"/>
          <w:lang w:eastAsia="zh-CN"/>
        </w:rPr>
        <w:t>投标人认为需要提供</w:t>
      </w:r>
      <w:r>
        <w:rPr>
          <w:rFonts w:ascii="Times New Roman" w:hAnsi="Times New Roman" w:eastAsia="宋体"/>
          <w:color w:val="auto"/>
          <w:sz w:val="24"/>
          <w:szCs w:val="24"/>
        </w:rPr>
        <w:t>的其他资料</w:t>
      </w:r>
      <w:r>
        <w:rPr>
          <w:rFonts w:hint="eastAsia" w:ascii="Times New Roman" w:hAnsi="Times New Roman" w:eastAsia="宋体"/>
          <w:color w:val="auto"/>
          <w:sz w:val="24"/>
          <w:szCs w:val="24"/>
          <w:lang w:eastAsia="zh-CN"/>
        </w:rPr>
        <w:t>（公司简介和信用证书等）</w:t>
      </w:r>
      <w:r>
        <w:rPr>
          <w:rFonts w:ascii="Times New Roman" w:hAnsi="Times New Roman" w:eastAsia="宋体"/>
          <w:color w:val="auto"/>
          <w:sz w:val="24"/>
          <w:szCs w:val="24"/>
        </w:rPr>
        <w:t>，等等。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修理方案</w:t>
      </w:r>
      <w:r>
        <w:rPr>
          <w:rFonts w:hint="eastAsia" w:ascii="Times New Roman" w:hAnsi="Times New Roman" w:eastAsia="宋体"/>
          <w:color w:val="auto"/>
          <w:sz w:val="24"/>
          <w:szCs w:val="24"/>
          <w:lang w:val="en-US" w:eastAsia="zh-CN"/>
        </w:rPr>
        <w:t>；b.</w:t>
      </w:r>
      <w:r>
        <w:rPr>
          <w:rFonts w:hint="eastAsia" w:ascii="Times New Roman" w:hAnsi="Times New Roman" w:eastAsia="宋体"/>
          <w:color w:val="auto"/>
          <w:sz w:val="24"/>
          <w:szCs w:val="24"/>
          <w:lang w:eastAsia="zh-CN"/>
        </w:rPr>
        <w:t>第</w:t>
      </w:r>
      <w:r>
        <w:rPr>
          <w:rFonts w:hint="eastAsia" w:ascii="Times New Roman" w:hAnsi="Times New Roman" w:eastAsia="宋体"/>
          <w:color w:val="auto"/>
          <w:sz w:val="24"/>
          <w:szCs w:val="24"/>
          <w:lang w:val="en-US" w:eastAsia="zh-CN"/>
        </w:rPr>
        <w:t>10.3条</w:t>
      </w:r>
      <w:r>
        <w:rPr>
          <w:rFonts w:hint="eastAsia" w:ascii="Times New Roman" w:hAnsi="Times New Roman" w:eastAsia="宋体"/>
          <w:color w:val="auto"/>
          <w:sz w:val="24"/>
          <w:szCs w:val="24"/>
          <w:lang w:eastAsia="zh-CN"/>
        </w:rPr>
        <w:t>技术评审中第</w:t>
      </w:r>
      <w:r>
        <w:rPr>
          <w:rFonts w:hint="eastAsia" w:ascii="Times New Roman" w:hAnsi="Times New Roman" w:eastAsia="宋体"/>
          <w:color w:val="auto"/>
          <w:sz w:val="24"/>
          <w:szCs w:val="24"/>
          <w:lang w:val="en-US" w:eastAsia="zh-CN"/>
        </w:rPr>
        <w:t>①②③小点评分</w:t>
      </w:r>
      <w:r>
        <w:rPr>
          <w:rFonts w:hint="eastAsia" w:ascii="Times New Roman" w:hAnsi="Times New Roman" w:eastAsia="宋体"/>
          <w:color w:val="auto"/>
          <w:sz w:val="24"/>
          <w:szCs w:val="24"/>
          <w:lang w:eastAsia="zh-CN"/>
        </w:rPr>
        <w:t>项所对应的其他响应材料</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c</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工</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w:t>
      </w:r>
      <w:r>
        <w:rPr>
          <w:rFonts w:hint="eastAsia" w:ascii="Times New Roman" w:hAnsi="Times New Roman" w:eastAsia="宋体"/>
          <w:color w:val="auto"/>
          <w:sz w:val="24"/>
          <w:szCs w:val="24"/>
          <w:lang w:val="en-US" w:eastAsia="zh-CN"/>
        </w:rPr>
        <w:t>d</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lang w:eastAsia="zh-CN"/>
        </w:rPr>
        <w:t>（三年内螺旋修理的合同业绩）</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e</w:t>
      </w:r>
      <w:r>
        <w:rPr>
          <w:rFonts w:hint="eastAsia" w:ascii="Times New Roman" w:hAnsi="Times New Roman" w:eastAsia="宋体"/>
          <w:color w:val="auto"/>
          <w:sz w:val="24"/>
          <w:szCs w:val="24"/>
        </w:rPr>
        <w:t>.</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f</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技术联系人：黄志中13559098500</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商务联系人</w:t>
      </w:r>
      <w:r>
        <w:rPr>
          <w:rFonts w:hint="eastAsia" w:ascii="Times New Roman" w:hAnsi="Times New Roman" w:eastAsia="宋体"/>
          <w:color w:val="auto"/>
          <w:sz w:val="24"/>
          <w:szCs w:val="24"/>
        </w:rPr>
        <w:t>：陈初发0598-5658513</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1：1#木片仓2316螺旋出料器螺旋断裂图（注：有意向参与投标的单位可联系招标办获取）</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right"/>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outlineLvl w:val="9"/>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right"/>
        <w:textAlignment w:val="auto"/>
        <w:outlineLvl w:val="9"/>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24</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Times New Roman" w:hAnsi="Times New Roman" w:eastAsia="宋体" w:cs="Times New Roman"/>
          <w:bCs/>
          <w:color w:val="auto"/>
          <w:sz w:val="24"/>
          <w:szCs w:val="24"/>
        </w:rPr>
      </w:pPr>
      <w:bookmarkStart w:id="0" w:name="_GoBack"/>
      <w:bookmarkEnd w:id="0"/>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20" w:lineRule="exact"/>
        <w:jc w:val="center"/>
        <w:textAlignment w:val="auto"/>
        <w:outlineLvl w:val="9"/>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3SB030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3B91808"/>
    <w:rsid w:val="55867334"/>
    <w:rsid w:val="574E15B7"/>
    <w:rsid w:val="5D23354B"/>
    <w:rsid w:val="5D6B3280"/>
    <w:rsid w:val="5D785372"/>
    <w:rsid w:val="5DAE499A"/>
    <w:rsid w:val="5DDF5898"/>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2023-02-24T07:10:06Z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