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：脚手架（钢管架）和防腐保温等零星工程项目</w:t>
      </w:r>
    </w:p>
    <w:p>
      <w:pPr>
        <w:spacing w:line="40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2.项目内容及要求</w:t>
      </w:r>
    </w:p>
    <w:p>
      <w:pPr>
        <w:spacing w:line="400" w:lineRule="exact"/>
        <w:ind w:firstLine="482" w:firstLineChars="200"/>
        <w:rPr>
          <w:rFonts w:ascii="Times New Roman" w:hAnsi="Times New Roman" w:eastAsia="宋体"/>
          <w:b/>
          <w:bCs/>
          <w:sz w:val="24"/>
          <w:szCs w:val="24"/>
        </w:rPr>
      </w:pPr>
      <w:r>
        <w:rPr>
          <w:rFonts w:hint="eastAsia" w:ascii="Times New Roman" w:hAnsi="Times New Roman" w:eastAsia="宋体"/>
          <w:b/>
          <w:bCs/>
          <w:sz w:val="24"/>
          <w:szCs w:val="24"/>
        </w:rPr>
        <w:t>2.1合同包一：青山公司各分厂检修脚手架项目</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2.1.1招标人检修项目的零星脚手架、抢修脚手架。项目费用在5万元以下，由招标人分厂根据招标结果，开具委托单设备部登记编号后给中标单位，中标人根据委托单位要求施工，施工结束验收合格。</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2.1.2中标人应根据使用单位委托要求，分轻重缓急合理安排。中标单位如不能及时合理的安排施工，招标人将给于处罚直至否决中标资格，招标人重新选择施工单位。</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2.1.3选材要求：钢管需符合国家标准。</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2.1.4中标人在招标人碱回收炉内、电站锅炉内及纸机现场等地方搭建脚手架必须采取相应的安全防范措施，避免破坏损伤现场设备。</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2.1.5中标人施工人员须持证上岗，并在有关部门备案。</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2.1.6中标人应保证给现场参与作业人员购买安全保险单，并提供保险单给招标人（如已有参保，需提供相关证明文件）。</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2.1.7中标人必须明确安全防护、文明施工措施费用，为作业人员配备劳动防护用品。</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2.1.8</w:t>
      </w:r>
      <w:r>
        <w:rPr>
          <w:rFonts w:hint="eastAsia" w:ascii="Times New Roman" w:hAnsi="Times New Roman" w:eastAsia="宋体"/>
          <w:b/>
          <w:bCs/>
          <w:sz w:val="24"/>
          <w:szCs w:val="24"/>
        </w:rPr>
        <w:t>招标范围包括福建省青山纸业股份有限公司和三明青阳环保科技有限公司（招标人环保部污水分厂）的项目。青山纸业的项目，评标结果公示期结束后中标人在规定时间内按中标价与青山纸业签订合同；青阳环保的项目，中标人按中标价另行与青阳环保按中标价结算或签订合同。</w:t>
      </w:r>
    </w:p>
    <w:p>
      <w:pPr>
        <w:spacing w:line="400" w:lineRule="exact"/>
        <w:ind w:firstLine="482" w:firstLineChars="200"/>
        <w:rPr>
          <w:rFonts w:ascii="Times New Roman" w:hAnsi="Times New Roman" w:eastAsia="宋体"/>
          <w:b/>
          <w:bCs/>
          <w:sz w:val="24"/>
          <w:szCs w:val="24"/>
        </w:rPr>
      </w:pPr>
      <w:r>
        <w:rPr>
          <w:rFonts w:hint="eastAsia" w:ascii="Times New Roman" w:hAnsi="Times New Roman" w:eastAsia="宋体"/>
          <w:b/>
          <w:bCs/>
          <w:sz w:val="24"/>
          <w:szCs w:val="24"/>
        </w:rPr>
        <w:t>2.2合同包二：青山公司因生产需要、抢修项目涉及防腐保温等零星项目工程</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2.2.1招标人因生产需要、抢修项目涉及防腐保温。项目费用在5万元以下，由招标人分厂根据招标结果，开具委托单设备部登记编号后给中标单位，中标单位根据委托单位要求施工，施工结束验收合格。</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2.2.2中标人应根据使用单位委托要求，分轻重缓急合理安排。中标人如不能及时合理的安排施工，招标人将给于处罚直至否决中标资格，招标人重新选择施工单位。</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2.2.3选材要求：全部材料由中标人自采。</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2.2.3.1保温材料要求：保温层厚度、规格以委托单质量要求为准。材料为岩棉的，建议岩棉为福建闽威名牌产品（或质量不低于该品牌国内知名品牌产品）、容重为100～120Kg/m3、导热系数为0.03～0.044W(m.k)、纤维系数4～7微米、渣球含量12%、颗粒度直径＞0.25mm。采用铝板外包覆的，建议铝板为南铝产名牌产品（或质量不低于该品牌国内知名品牌产品）。</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2.2.3.2防腐材料要求：防腐材料以委托质量要求为准。漆膜干膜厚度不得小于100微米。</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2.2.4中标人施工人员须持证上岗，并在有关部门备案。</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2.2.5中标人必须明确安全防护、文明施工措施费用，为作业人员配备劳动防护用品。</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w:t>
      </w: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投标人若中标，中标人必须按招标人安办的要求提供防腐保温作业安全应提交的资料。</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2.2.</w:t>
      </w:r>
      <w:r>
        <w:rPr>
          <w:rFonts w:hint="eastAsia" w:ascii="Times New Roman" w:hAnsi="Times New Roman" w:eastAsia="宋体"/>
          <w:sz w:val="24"/>
          <w:szCs w:val="24"/>
          <w:lang w:val="en-US" w:eastAsia="zh-CN"/>
        </w:rPr>
        <w:t>7</w:t>
      </w:r>
      <w:r>
        <w:rPr>
          <w:rFonts w:hint="eastAsia" w:ascii="Times New Roman" w:hAnsi="Times New Roman" w:eastAsia="宋体"/>
          <w:b/>
          <w:bCs/>
          <w:sz w:val="24"/>
          <w:szCs w:val="24"/>
        </w:rPr>
        <w:t>招标范围包括福建省青山纸业股份有限公司和三明青阳环保科技有限公司（招标人环保部污水分厂）的项目。青山纸业的项目，评标结果公示期结束后中标人在规定时间内按中标价与青山纸业签订合同；青阳环保的项目，中标人按中标价另行与青阳环保按中标价结算或签订合同。</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rPr>
        <w:t>2.3特别说明：</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2.3.1</w:t>
      </w:r>
      <w:r>
        <w:rPr>
          <w:rFonts w:ascii="Times New Roman" w:hAnsi="Times New Roman" w:eastAsia="宋体"/>
          <w:sz w:val="24"/>
          <w:szCs w:val="24"/>
        </w:rPr>
        <w:t>合同包一</w:t>
      </w:r>
      <w:r>
        <w:rPr>
          <w:rFonts w:hint="eastAsia" w:ascii="Times New Roman" w:hAnsi="Times New Roman" w:eastAsia="宋体"/>
          <w:sz w:val="24"/>
          <w:szCs w:val="24"/>
        </w:rPr>
        <w:t>的</w:t>
      </w:r>
      <w:r>
        <w:rPr>
          <w:rFonts w:ascii="Times New Roman" w:hAnsi="Times New Roman" w:eastAsia="宋体"/>
          <w:sz w:val="24"/>
          <w:szCs w:val="24"/>
        </w:rPr>
        <w:t>年工程量约90万元，合同包二</w:t>
      </w:r>
      <w:r>
        <w:rPr>
          <w:rFonts w:hint="eastAsia" w:ascii="Times New Roman" w:hAnsi="Times New Roman" w:eastAsia="宋体"/>
          <w:sz w:val="24"/>
          <w:szCs w:val="24"/>
        </w:rPr>
        <w:t>的</w:t>
      </w:r>
      <w:r>
        <w:rPr>
          <w:rFonts w:ascii="Times New Roman" w:hAnsi="Times New Roman" w:eastAsia="宋体"/>
          <w:sz w:val="24"/>
          <w:szCs w:val="24"/>
        </w:rPr>
        <w:t>年工程量约200万元。</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2.3.2</w:t>
      </w:r>
      <w:r>
        <w:rPr>
          <w:rFonts w:ascii="Times New Roman" w:hAnsi="Times New Roman" w:eastAsia="宋体"/>
          <w:sz w:val="24"/>
          <w:szCs w:val="24"/>
        </w:rPr>
        <w:t>由于该工程项目施工地点分散，施工管理难度较大，存在较大的安全风险，要求投标人在开标前勘察现场，了解工程的特点，必须有投标人代表与招标人的职能部门（设备部）进行技术交流，</w:t>
      </w:r>
      <w:r>
        <w:rPr>
          <w:rFonts w:ascii="Times New Roman" w:hAnsi="Times New Roman" w:eastAsia="宋体"/>
          <w:b/>
          <w:bCs/>
          <w:sz w:val="24"/>
          <w:szCs w:val="24"/>
        </w:rPr>
        <w:t>没有技术交流证明</w:t>
      </w:r>
      <w:r>
        <w:rPr>
          <w:rFonts w:hint="eastAsia" w:ascii="Times New Roman" w:hAnsi="Times New Roman" w:eastAsia="宋体"/>
          <w:b/>
          <w:bCs/>
          <w:sz w:val="24"/>
          <w:szCs w:val="24"/>
        </w:rPr>
        <w:t>的将被否决投标</w:t>
      </w:r>
      <w:r>
        <w:rPr>
          <w:rFonts w:ascii="Times New Roman" w:hAnsi="Times New Roman" w:eastAsia="宋体"/>
          <w:sz w:val="24"/>
          <w:szCs w:val="24"/>
        </w:rPr>
        <w:t>。</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2.3.3</w:t>
      </w:r>
      <w:r>
        <w:rPr>
          <w:rFonts w:ascii="Times New Roman" w:hAnsi="Times New Roman" w:eastAsia="宋体"/>
          <w:sz w:val="24"/>
          <w:szCs w:val="24"/>
        </w:rPr>
        <w:t>投标人对拟派该工程项目的项目人员作出承诺，如投标人中标，在一个月内承诺的该项目的项目人员没到位，招标人可书面通知中标人，如第二月还没到位，第三月招标人可终止该合同履行，中标人按从履约开始至终止合同止支付招标人每天2000元的违约</w:t>
      </w:r>
      <w:r>
        <w:rPr>
          <w:rFonts w:hint="eastAsia" w:ascii="Times New Roman" w:hAnsi="Times New Roman" w:eastAsia="宋体"/>
          <w:sz w:val="24"/>
          <w:szCs w:val="24"/>
        </w:rPr>
        <w:t>赔偿</w:t>
      </w:r>
      <w:r>
        <w:rPr>
          <w:rFonts w:ascii="Times New Roman" w:hAnsi="Times New Roman" w:eastAsia="宋体"/>
          <w:sz w:val="24"/>
          <w:szCs w:val="24"/>
        </w:rPr>
        <w:t>金。</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2.3.4</w:t>
      </w:r>
      <w:r>
        <w:rPr>
          <w:rFonts w:ascii="Times New Roman" w:hAnsi="Times New Roman" w:eastAsia="宋体"/>
          <w:sz w:val="24"/>
          <w:szCs w:val="24"/>
        </w:rPr>
        <w:t>中标人应根据委托要求分轻重缓急合理安排施工。遇紧急抢修任务时，由于中标人原因造成不能按委托单要求工期竣工时，应赔偿由于误工给招标人带来的损失费，</w:t>
      </w:r>
      <w:r>
        <w:rPr>
          <w:rFonts w:hint="eastAsia" w:ascii="Times New Roman" w:hAnsi="Times New Roman" w:eastAsia="宋体"/>
          <w:sz w:val="24"/>
          <w:szCs w:val="24"/>
        </w:rPr>
        <w:t>其损失费</w:t>
      </w:r>
      <w:r>
        <w:rPr>
          <w:rFonts w:ascii="Times New Roman" w:hAnsi="Times New Roman" w:eastAsia="宋体"/>
          <w:sz w:val="24"/>
          <w:szCs w:val="24"/>
        </w:rPr>
        <w:t>按每拖延1日历天向招标人支付2000</w:t>
      </w:r>
      <w:r>
        <w:rPr>
          <w:rFonts w:hint="eastAsia" w:ascii="Times New Roman" w:hAnsi="Times New Roman" w:eastAsia="宋体"/>
          <w:sz w:val="24"/>
          <w:szCs w:val="24"/>
        </w:rPr>
        <w:t>～</w:t>
      </w:r>
      <w:r>
        <w:rPr>
          <w:rFonts w:ascii="Times New Roman" w:hAnsi="Times New Roman" w:eastAsia="宋体"/>
          <w:sz w:val="24"/>
          <w:szCs w:val="24"/>
        </w:rPr>
        <w:t>5000元，并累计计取。中标人无法完紧急抢修任务累计3次时，招标人有权解除合同，重新选择施工单位。</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rPr>
        <w:t>3.主要技术、质量的要求</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3.1中标人必须严格按照《建筑安装各项施工质量标准》保证工程质量达到合格的要求。且应执行《建筑工程安全防护，文明施工措施费用及使用管理规定》。</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3.2符合《建筑施工特种作业人员管理规定》和《建筑施工人员劳动保护用品使用管理暂行规定》。</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3.3严格按照委托质量要求及国家现行质量标准、行业质量标准进行施工，确保工程质量达到合格要求。</w:t>
      </w:r>
    </w:p>
    <w:p>
      <w:pPr>
        <w:spacing w:line="40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4.</w:t>
      </w:r>
      <w:r>
        <w:rPr>
          <w:rFonts w:hint="eastAsia" w:ascii="Times New Roman" w:hAnsi="Times New Roman" w:eastAsia="宋体"/>
          <w:b/>
          <w:sz w:val="24"/>
          <w:szCs w:val="24"/>
          <w:lang w:eastAsia="zh-CN"/>
        </w:rPr>
        <w:t>服务期限</w:t>
      </w:r>
      <w:r>
        <w:rPr>
          <w:rFonts w:hint="eastAsia" w:ascii="Times New Roman" w:hAnsi="Times New Roman" w:eastAsia="宋体"/>
          <w:b/>
          <w:sz w:val="24"/>
          <w:szCs w:val="24"/>
        </w:rPr>
        <w:t>：</w:t>
      </w:r>
      <w:r>
        <w:rPr>
          <w:rFonts w:hint="eastAsia" w:ascii="Times New Roman" w:hAnsi="Times New Roman" w:eastAsia="宋体"/>
          <w:bCs/>
          <w:sz w:val="24"/>
          <w:szCs w:val="24"/>
        </w:rPr>
        <w:t>202</w:t>
      </w:r>
      <w:r>
        <w:rPr>
          <w:rFonts w:hint="eastAsia" w:ascii="Times New Roman" w:hAnsi="Times New Roman" w:eastAsia="宋体"/>
          <w:bCs/>
          <w:sz w:val="24"/>
          <w:szCs w:val="24"/>
          <w:lang w:val="en-US" w:eastAsia="zh-CN"/>
        </w:rPr>
        <w:t>3</w:t>
      </w:r>
      <w:r>
        <w:rPr>
          <w:rFonts w:hint="eastAsia" w:ascii="Times New Roman" w:hAnsi="Times New Roman" w:eastAsia="宋体"/>
          <w:bCs/>
          <w:sz w:val="24"/>
          <w:szCs w:val="24"/>
        </w:rPr>
        <w:t>年01月01日——202</w:t>
      </w:r>
      <w:r>
        <w:rPr>
          <w:rFonts w:hint="eastAsia" w:ascii="Times New Roman" w:hAnsi="Times New Roman" w:eastAsia="宋体"/>
          <w:bCs/>
          <w:sz w:val="24"/>
          <w:szCs w:val="24"/>
          <w:lang w:val="en-US" w:eastAsia="zh-CN"/>
        </w:rPr>
        <w:t>3</w:t>
      </w:r>
      <w:r>
        <w:rPr>
          <w:rFonts w:hint="eastAsia" w:ascii="Times New Roman" w:hAnsi="Times New Roman" w:eastAsia="宋体"/>
          <w:bCs/>
          <w:sz w:val="24"/>
          <w:szCs w:val="24"/>
        </w:rPr>
        <w:t>年12月31日。</w:t>
      </w:r>
    </w:p>
    <w:p>
      <w:pPr>
        <w:spacing w:line="40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5.对投标人资格要求</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rPr>
        <w:t>5.1合同包一</w:t>
      </w:r>
      <w:r>
        <w:rPr>
          <w:rFonts w:hint="eastAsia" w:ascii="Times New Roman" w:hAnsi="Times New Roman" w:eastAsia="宋体"/>
          <w:sz w:val="24"/>
          <w:szCs w:val="24"/>
        </w:rPr>
        <w:t>对投标人资格的要求：</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5.1.1投标人应具备独立法人资格；</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5.1.2投标人应具备模板脚手架专业承包资质。</w:t>
      </w:r>
    </w:p>
    <w:p>
      <w:pPr>
        <w:spacing w:line="400" w:lineRule="exact"/>
        <w:ind w:firstLine="480" w:firstLineChars="200"/>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5.1.3投标人须与招标人设备部进行技术交流，由设备部出具技术交流证明，投标文件中需附上此证明。投标人无技术交流证明的，其投标将被否决。</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rPr>
        <w:t>5.2合同包二</w:t>
      </w:r>
      <w:r>
        <w:rPr>
          <w:rFonts w:hint="eastAsia" w:ascii="Times New Roman" w:hAnsi="Times New Roman" w:eastAsia="宋体"/>
          <w:sz w:val="24"/>
          <w:szCs w:val="24"/>
        </w:rPr>
        <w:t>对投标人资格的要求：</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5.2.1投标人应具备独立法人资格；</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5.2.2投标人应具备防腐保温专业二级以上承包资质。</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5.</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.3投标人须与招标人设备部进行技术交流，由设备部出具技术交流证明</w:t>
      </w:r>
      <w:r>
        <w:rPr>
          <w:rFonts w:hint="eastAsia" w:ascii="Times New Roman" w:hAnsi="Times New Roman" w:eastAsia="宋体"/>
          <w:sz w:val="24"/>
          <w:szCs w:val="24"/>
          <w:lang w:val="en-US" w:eastAsia="zh-CN"/>
        </w:rPr>
        <w:t>，投标文件中需附上此证明</w:t>
      </w:r>
      <w:r>
        <w:rPr>
          <w:rFonts w:hint="eastAsia" w:ascii="Times New Roman" w:hAnsi="Times New Roman" w:eastAsia="宋体"/>
          <w:sz w:val="24"/>
          <w:szCs w:val="24"/>
        </w:rPr>
        <w:t>。投标人无技术交流证明的，其投标将被</w:t>
      </w:r>
      <w:r>
        <w:rPr>
          <w:rFonts w:hint="eastAsia" w:ascii="Times New Roman" w:hAnsi="Times New Roman" w:eastAsia="宋体"/>
          <w:sz w:val="24"/>
          <w:szCs w:val="24"/>
          <w:lang w:eastAsia="zh-CN"/>
        </w:rPr>
        <w:t>否决</w:t>
      </w:r>
      <w:r>
        <w:rPr>
          <w:rFonts w:hint="eastAsia" w:ascii="Times New Roman" w:hAnsi="Times New Roman" w:eastAsia="宋体"/>
          <w:sz w:val="24"/>
          <w:szCs w:val="24"/>
        </w:rPr>
        <w:t>。</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rPr>
        <w:t>6.双方职责</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6.1</w:t>
      </w:r>
      <w:r>
        <w:rPr>
          <w:rFonts w:hint="eastAsia" w:ascii="Times New Roman" w:hAnsi="Times New Roman" w:eastAsia="宋体"/>
          <w:sz w:val="24"/>
          <w:szCs w:val="24"/>
        </w:rPr>
        <w:t>招标人负责提供现场水源、施工电源（含费用）。</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6.2</w:t>
      </w:r>
      <w:r>
        <w:rPr>
          <w:rFonts w:hint="eastAsia" w:ascii="Times New Roman" w:hAnsi="Times New Roman" w:eastAsia="宋体"/>
          <w:sz w:val="24"/>
          <w:szCs w:val="24"/>
        </w:rPr>
        <w:t>投标人应遵守招标人有关规章制度，中标人所接委托单应在服务期限内（以分厂单位在招标人设备部登记日期为准），超出服务期的委托单为无效委托单。　</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6.3</w:t>
      </w:r>
      <w:r>
        <w:rPr>
          <w:rFonts w:hint="eastAsia" w:ascii="Times New Roman" w:hAnsi="Times New Roman" w:eastAsia="宋体"/>
          <w:sz w:val="24"/>
          <w:szCs w:val="24"/>
        </w:rPr>
        <w:t>中标人在施工过程中应采取必要的安全防范措施，确保招标人人员及设备的安全，若施工方原因造成招标人人员或设备的损坏，中标人应负责赔偿损失。</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6.4</w:t>
      </w:r>
      <w:r>
        <w:rPr>
          <w:rFonts w:hint="eastAsia" w:ascii="Times New Roman" w:hAnsi="Times New Roman" w:eastAsia="宋体"/>
          <w:sz w:val="24"/>
          <w:szCs w:val="24"/>
        </w:rPr>
        <w:t>中标人在施工过程中拆除的有用物品应堆放在招标人指定的地点并由招标人负责处理，施工过程中铝皮、岩棉、废旧钢材等招标人确认不利旧的，废旧铝皮、废旧钢材等由中标人负责放置到招标人分厂指定地点，由招标人负责处理，废旧岩棉等没有回收价值的由中标人负责打包运送至招标人环保责任区以外环保允许堆放处处理。建筑垃圾必须运往招标人指定地点，中标人不得回收招标人厂区内废旧铝皮、废旧钢材等材料，中标人施工剩余材料按招标人公司的物资出厂制度执行，中标人处理剩余材料如果发现有招标人物资按招标人相关规定处罚。</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6.5</w:t>
      </w:r>
      <w:r>
        <w:rPr>
          <w:rFonts w:hint="eastAsia" w:ascii="Times New Roman" w:hAnsi="Times New Roman" w:eastAsia="宋体"/>
          <w:sz w:val="24"/>
          <w:szCs w:val="24"/>
        </w:rPr>
        <w:t>中标人包工包料进行施工。投标人必须提供详细施工方案、施工工期，中标人制作完成应提供相关检验材料及证明。</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6.6</w:t>
      </w:r>
      <w:r>
        <w:rPr>
          <w:rFonts w:hint="eastAsia" w:ascii="Times New Roman" w:hAnsi="Times New Roman" w:eastAsia="宋体"/>
          <w:sz w:val="24"/>
          <w:szCs w:val="24"/>
        </w:rPr>
        <w:t>中标人施工前须办理开工报告，并交纳安全保证金。</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6.7</w:t>
      </w:r>
      <w:r>
        <w:rPr>
          <w:rFonts w:hint="eastAsia" w:ascii="Times New Roman" w:hAnsi="Times New Roman" w:eastAsia="宋体"/>
          <w:sz w:val="24"/>
          <w:szCs w:val="24"/>
        </w:rPr>
        <w:t>中标人在施工过程中废弃的物品应堆放在招标人指定的地点并由招标人负责处理。</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6.8</w:t>
      </w:r>
      <w:r>
        <w:rPr>
          <w:rFonts w:hint="eastAsia" w:ascii="Times New Roman" w:hAnsi="Times New Roman" w:eastAsia="宋体"/>
          <w:sz w:val="24"/>
          <w:szCs w:val="24"/>
        </w:rPr>
        <w:t>中标人施工垃圾应及时清理干净，保持现场整洁。</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rPr>
        <w:t>7.</w:t>
      </w:r>
      <w:r>
        <w:rPr>
          <w:rFonts w:ascii="Times New Roman" w:hAnsi="Times New Roman" w:eastAsia="宋体"/>
          <w:b/>
          <w:bCs/>
          <w:sz w:val="24"/>
          <w:szCs w:val="24"/>
        </w:rPr>
        <w:t>安全责任</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7.1中标人在施工工程中必须严格遵守国家、建设部、福建省等有关安全技术规范及中华人民共和国现行的法律、法规、政策、规定和规章中关于安全、劳保、防疫、卫生的条例。</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7.2</w:t>
      </w:r>
      <w:r>
        <w:rPr>
          <w:rFonts w:hint="eastAsia" w:ascii="Times New Roman" w:hAnsi="Times New Roman" w:eastAsia="宋体"/>
          <w:sz w:val="24"/>
          <w:szCs w:val="24"/>
        </w:rPr>
        <w:t>中标人必须对工作过程中的安全和损失预防的程序负责。</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7.3</w:t>
      </w:r>
      <w:r>
        <w:rPr>
          <w:rFonts w:hint="eastAsia" w:ascii="Times New Roman" w:hAnsi="Times New Roman" w:eastAsia="宋体"/>
          <w:sz w:val="24"/>
          <w:szCs w:val="24"/>
        </w:rPr>
        <w:t>招标人所支付管理费中已包含安全管理费用，中标人应根据有关劳保规定发给其所属人员必要的个人防护用品，以保障安全。</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7.4</w:t>
      </w:r>
      <w:r>
        <w:rPr>
          <w:rFonts w:hint="eastAsia" w:ascii="Times New Roman" w:hAnsi="Times New Roman" w:eastAsia="宋体"/>
          <w:sz w:val="24"/>
          <w:szCs w:val="24"/>
        </w:rPr>
        <w:t>中标人按有关规定，采取严格的安全防护措施。进行高空施工时，为保障中标人自身施工人员的人身安全及下方招标人生产人员及设备的安全，中标人应按JGJ80-2016《建筑施工高处作业安全技术规范》要求，做好安全措施。中标人施工安全责任自负，应承担该项目由于自身安全措施不力造成安全事故的责任和因此发生的费用。</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7.5</w:t>
      </w:r>
      <w:r>
        <w:rPr>
          <w:rFonts w:hint="eastAsia" w:ascii="Times New Roman" w:hAnsi="Times New Roman" w:eastAsia="宋体"/>
          <w:sz w:val="24"/>
          <w:szCs w:val="24"/>
        </w:rPr>
        <w:t>发生重大伤亡事故，中标人应按有关规定立即上报有关部门并通知招标人代表。同时按政府有关部门要求处理。招标人为抢救提供必要条件。发生的费用由事故责任方承担。</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7.6</w:t>
      </w:r>
      <w:r>
        <w:rPr>
          <w:rFonts w:hint="eastAsia" w:ascii="Times New Roman" w:hAnsi="Times New Roman" w:eastAsia="宋体"/>
          <w:sz w:val="24"/>
          <w:szCs w:val="24"/>
        </w:rPr>
        <w:t>中标人与招标人签订合同，同时签订安全协议书。中标人施工前须按规定办理开工报告并交纳安全保证金5000元。</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8.付款方式</w:t>
      </w:r>
      <w:r>
        <w:rPr>
          <w:rFonts w:hint="eastAsia" w:ascii="Times New Roman" w:hAnsi="Times New Roman" w:eastAsia="宋体"/>
          <w:sz w:val="24"/>
          <w:szCs w:val="24"/>
        </w:rPr>
        <w:t>：本项目不支付预付款和工程进度款。工程竣工验收合格、完成结算审核（结算数额在一万元以上五万元以下的委托单，由监察人员随机抽取，送中介单位复核）、所有资料归档、中标人开具税务发票招标人财务部收到45天，招标人支付工程款总额的95%（银行承兑汇票），工程总造价的5%作</w:t>
      </w:r>
      <w:r>
        <w:rPr>
          <w:rFonts w:hint="eastAsia" w:ascii="Times New Roman" w:hAnsi="Times New Roman" w:eastAsia="宋体"/>
          <w:sz w:val="24"/>
          <w:szCs w:val="24"/>
          <w:lang w:eastAsia="zh-CN"/>
        </w:rPr>
        <w:t>为</w:t>
      </w:r>
      <w:r>
        <w:rPr>
          <w:rFonts w:hint="eastAsia" w:ascii="Times New Roman" w:hAnsi="Times New Roman" w:eastAsia="宋体"/>
          <w:sz w:val="24"/>
          <w:szCs w:val="24"/>
        </w:rPr>
        <w:t>质保金由招标人预留，质保期满付清，质保金不计利息，工程质保期为一年。质保期内发生工程质量问题由中标人无偿返修。中标人接到通知后应立即派人维修，否则招标人自行处理，其费用在年度内工程费用或质保金内扣除。</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9.报价规定及结算方式</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9.1本次招标采取一次性报价方式。</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9.2投标人以优惠率K值报价，合同包一和合同包二可单独投标报价，合同包一设置最低优惠率K值8.5% 。</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w:t>
      </w:r>
      <w:r>
        <w:rPr>
          <w:rFonts w:ascii="Times New Roman" w:hAnsi="Times New Roman" w:eastAsia="宋体"/>
          <w:sz w:val="24"/>
          <w:szCs w:val="24"/>
        </w:rPr>
        <w:t>.</w:t>
      </w:r>
      <w:r>
        <w:rPr>
          <w:rFonts w:hint="eastAsia" w:ascii="Times New Roman" w:hAnsi="Times New Roman" w:eastAsia="宋体"/>
          <w:sz w:val="24"/>
          <w:szCs w:val="24"/>
        </w:rPr>
        <w:t>3工程量按实计算，套用现行的《福建省房屋建筑与装饰工程预算定额》（FJYD-101-2017）、《福建省构筑物工程预算定额》（FJYD-102-2017）、《福建省通用安装工程预算定额》（FJYD-301～311-2017）、《福建省市政工程预算定额》（FJYD-401～409-2017）、《福建省建筑与安装工程费用定额》（2017版）及国家和福建省建设厅有关工程造价的文件进行编制。</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9.4材料及施工机械单价：除附表中的部分材料外，其他材料按施工期《三明工程造价》三明市沙县材料信息价格并结合当前材料市场价格综合取定；附</w:t>
      </w:r>
      <w:r>
        <w:rPr>
          <w:rFonts w:hint="eastAsia" w:ascii="Times New Roman" w:hAnsi="Times New Roman" w:eastAsia="宋体"/>
          <w:sz w:val="24"/>
          <w:szCs w:val="24"/>
          <w:lang w:eastAsia="zh-CN"/>
        </w:rPr>
        <w:t>件</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中的材料价格结算时不再调整。</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9.5结算价及其组成和计算方法：结算价＝定额计价中可竞争项目造价×(1-K)+定额计价价中不可竞争项目造价。其中：</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（1）不可竞争项目包括：</w:t>
      </w:r>
    </w:p>
    <w:p>
      <w:pPr>
        <w:spacing w:line="400" w:lineRule="exact"/>
        <w:ind w:firstLine="960" w:firstLineChars="400"/>
        <w:rPr>
          <w:rFonts w:ascii="Times New Roman" w:hAnsi="Times New Roman" w:eastAsia="宋体"/>
          <w:sz w:val="24"/>
          <w:szCs w:val="24"/>
        </w:rPr>
      </w:pPr>
      <w:r>
        <w:rPr>
          <w:rFonts w:hint="eastAsia" w:ascii="Times New Roman" w:hAnsi="Times New Roman" w:eastAsia="宋体"/>
          <w:sz w:val="24"/>
          <w:szCs w:val="24"/>
        </w:rPr>
        <w:t>①暂列金额、专业工程暂估价、甲供材料费；</w:t>
      </w:r>
    </w:p>
    <w:p>
      <w:pPr>
        <w:spacing w:line="400" w:lineRule="exact"/>
        <w:ind w:firstLine="960" w:firstLineChars="400"/>
        <w:rPr>
          <w:rFonts w:ascii="Times New Roman" w:hAnsi="Times New Roman" w:eastAsia="宋体"/>
          <w:sz w:val="24"/>
          <w:szCs w:val="24"/>
        </w:rPr>
      </w:pPr>
      <w:r>
        <w:rPr>
          <w:rFonts w:hint="eastAsia" w:ascii="Times New Roman" w:hAnsi="Times New Roman" w:eastAsia="宋体"/>
          <w:sz w:val="24"/>
          <w:szCs w:val="24"/>
        </w:rPr>
        <w:t>②措施项目清单中的安全文明施工费按有关规定计取。</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（2）可竞争项目是指不可竞争项目之外的项目。</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定额计价中可竞争项目综合单价＝定额计价的相应项目综合单价×（1-K）。</w:t>
      </w:r>
    </w:p>
    <w:p>
      <w:pPr>
        <w:spacing w:line="400" w:lineRule="exact"/>
        <w:ind w:firstLine="480" w:firstLineChars="200"/>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9.6委托单项目竣工后三个月内，中标方应及时办理竣工验收、结算手续。中标方无故延后办理，造成影响招标方生产成本计算，招标方有权对中标方按项目总造价的5%进行处罚。</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10.评标办法</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10.</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本项目采用经评审最低投标价（即最大优惠率K值）中标的办法评标。经评审的最低投标价格（最大优惠率K值）的投标人确定为中标候选人，中标候选人将在本公司网站上公示三天，无异议后转为中标人。</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10.</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投标人对合同包一的报价优惠率K≤8.5%的，将否决其</w:t>
      </w:r>
      <w:r>
        <w:rPr>
          <w:rFonts w:hint="eastAsia" w:ascii="Times New Roman" w:hAnsi="Times New Roman" w:eastAsia="宋体"/>
          <w:sz w:val="24"/>
          <w:szCs w:val="24"/>
          <w:lang w:eastAsia="zh-CN"/>
        </w:rPr>
        <w:t>对</w:t>
      </w:r>
      <w:r>
        <w:rPr>
          <w:rFonts w:hint="eastAsia" w:ascii="Times New Roman" w:hAnsi="Times New Roman" w:eastAsia="宋体"/>
          <w:sz w:val="24"/>
          <w:szCs w:val="24"/>
        </w:rPr>
        <w:t>合同包一的投标。</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10.3合同包一、合同包二</w:t>
      </w:r>
      <w:r>
        <w:rPr>
          <w:rFonts w:hint="eastAsia" w:ascii="Times New Roman" w:hAnsi="Times New Roman" w:eastAsia="宋体"/>
          <w:sz w:val="24"/>
          <w:szCs w:val="24"/>
          <w:lang w:eastAsia="zh-CN"/>
        </w:rPr>
        <w:t>分别确定中标候选人</w:t>
      </w:r>
      <w:r>
        <w:rPr>
          <w:rFonts w:ascii="Times New Roman" w:hAnsi="Times New Roman" w:eastAsia="宋体"/>
          <w:sz w:val="24"/>
          <w:szCs w:val="24"/>
        </w:rPr>
        <w:t>。</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11.开标时间、地点及参与方式</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2</w:t>
      </w:r>
      <w:r>
        <w:rPr>
          <w:rFonts w:ascii="Times New Roman" w:hAnsi="Times New Roman" w:eastAsia="宋体"/>
          <w:sz w:val="24"/>
          <w:szCs w:val="24"/>
        </w:rPr>
        <w:t>年</w:t>
      </w: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月</w:t>
      </w:r>
      <w:r>
        <w:rPr>
          <w:rFonts w:hint="eastAsia" w:ascii="Times New Roman" w:hAnsi="Times New Roman" w:eastAsia="宋体"/>
          <w:sz w:val="24"/>
          <w:szCs w:val="24"/>
          <w:lang w:val="en-US" w:eastAsia="zh-CN"/>
        </w:rPr>
        <w:t>8</w:t>
      </w:r>
      <w:r>
        <w:rPr>
          <w:rFonts w:ascii="Times New Roman" w:hAnsi="Times New Roman" w:eastAsia="宋体"/>
          <w:sz w:val="24"/>
          <w:szCs w:val="24"/>
        </w:rPr>
        <w:t>日</w:t>
      </w: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:30</w:t>
      </w:r>
      <w:r>
        <w:rPr>
          <w:rFonts w:ascii="Times New Roman" w:hAnsi="Times New Roman" w:eastAsia="宋体"/>
          <w:sz w:val="24"/>
          <w:szCs w:val="24"/>
        </w:rPr>
        <w:t>时（北京时间）在青山纸业文化楼4楼招标办会议室公开开标。</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.2参与方式：</w:t>
      </w:r>
      <w:r>
        <w:rPr>
          <w:rFonts w:hint="eastAsia" w:ascii="Times New Roman" w:hAnsi="Times New Roman" w:eastAsia="宋体"/>
          <w:sz w:val="24"/>
          <w:szCs w:val="24"/>
        </w:rPr>
        <w:t>（以下三种参与方式投标人可任选一种）</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现场：参与现场投标</w:t>
      </w:r>
      <w:r>
        <w:rPr>
          <w:rFonts w:hint="eastAsia" w:ascii="Times New Roman" w:hAnsi="Times New Roman" w:eastAsia="宋体"/>
          <w:sz w:val="24"/>
          <w:szCs w:val="24"/>
        </w:rPr>
        <w:t>的，</w:t>
      </w:r>
      <w:r>
        <w:rPr>
          <w:rFonts w:ascii="Times New Roman" w:hAnsi="Times New Roman" w:eastAsia="宋体"/>
          <w:sz w:val="24"/>
          <w:szCs w:val="24"/>
        </w:rPr>
        <w:t>投标人应于开标之前将投标文件送至青山纸业文化楼4楼招标办会议室。</w:t>
      </w:r>
      <w:r>
        <w:rPr>
          <w:rFonts w:hint="eastAsia" w:ascii="Times New Roman" w:hAnsi="Times New Roman" w:eastAsia="宋体"/>
          <w:sz w:val="24"/>
          <w:szCs w:val="24"/>
        </w:rPr>
        <w:t>到会议现场参加开标的投标人代表，须遵守沙县政府和本公司关于新冠肺炎疫情防控的相关规定，并出示绿色健康码、行程卡、48h内核酸检测阴性证明</w:t>
      </w:r>
      <w:r>
        <w:rPr>
          <w:rFonts w:hint="eastAsia" w:ascii="Times New Roman" w:hAnsi="Times New Roman" w:eastAsia="宋体"/>
          <w:color w:val="000000" w:themeColor="text1"/>
          <w:sz w:val="24"/>
          <w:szCs w:val="24"/>
          <w:u w:val="none"/>
          <w:lang w:eastAsia="zh-CN"/>
          <w14:textFill>
            <w14:solidFill>
              <w14:schemeClr w14:val="tx1"/>
            </w14:solidFill>
          </w14:textFill>
        </w:rPr>
        <w:t>。</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投标文件应于开标之前寄达，</w:t>
      </w:r>
      <w:r>
        <w:rPr>
          <w:rFonts w:ascii="Times New Roman" w:hAnsi="Times New Roman" w:eastAsia="宋体"/>
          <w:sz w:val="24"/>
          <w:szCs w:val="24"/>
          <w:u w:val="none"/>
        </w:rPr>
        <w:t>快递单上须注明投标单位名称和参与的招标编号</w:t>
      </w:r>
      <w:r>
        <w:rPr>
          <w:rFonts w:ascii="Times New Roman" w:hAnsi="Times New Roman" w:eastAsia="宋体"/>
          <w:sz w:val="24"/>
          <w:szCs w:val="24"/>
        </w:rPr>
        <w:t>，建议选用邮政EMS或顺丰快递，开标之前为确保寄达，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w:t>
      </w:r>
      <w:r>
        <w:rPr>
          <w:rFonts w:hint="eastAsia" w:ascii="Times New Roman" w:hAnsi="Times New Roman" w:eastAsia="宋体"/>
          <w:sz w:val="24"/>
          <w:szCs w:val="24"/>
        </w:rPr>
        <w:t>.</w:t>
      </w:r>
      <w:r>
        <w:rPr>
          <w:rFonts w:ascii="Times New Roman" w:hAnsi="Times New Roman" w:eastAsia="宋体"/>
          <w:sz w:val="24"/>
          <w:szCs w:val="24"/>
        </w:rPr>
        <w:t>3</w:t>
      </w:r>
      <w:r>
        <w:rPr>
          <w:rFonts w:hint="eastAsia" w:ascii="Times New Roman" w:hAnsi="Times New Roman" w:eastAsia="宋体"/>
          <w:sz w:val="24"/>
          <w:szCs w:val="24"/>
        </w:rPr>
        <w:t>网络：在1688</w:t>
      </w:r>
      <w:r>
        <w:rPr>
          <w:rFonts w:hint="eastAsia" w:ascii="Times New Roman" w:hAnsi="Times New Roman" w:eastAsia="宋体"/>
          <w:sz w:val="24"/>
          <w:szCs w:val="24"/>
          <w:lang w:eastAsia="zh-CN"/>
        </w:rPr>
        <w:t>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或福建省国资采购平台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"https://ygcg.fjcqjy.com"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https://ygcg.fjcqjy.com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12.投标及履约保证金</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eastAsia="zh-CN"/>
        </w:rPr>
        <w:t>：</w:t>
      </w:r>
      <w:r>
        <w:rPr>
          <w:rFonts w:hint="eastAsia" w:ascii="Times New Roman" w:hAnsi="Times New Roman" w:eastAsia="宋体"/>
          <w:color w:val="auto"/>
          <w:sz w:val="24"/>
          <w:szCs w:val="24"/>
          <w:lang w:eastAsia="zh-CN"/>
        </w:rPr>
        <w:t>合同包一投标保证金</w:t>
      </w:r>
      <w:r>
        <w:rPr>
          <w:rFonts w:hint="eastAsia" w:ascii="Times New Roman" w:hAnsi="Times New Roman" w:eastAsia="宋体"/>
          <w:color w:val="auto"/>
          <w:sz w:val="24"/>
          <w:szCs w:val="24"/>
          <w:lang w:val="en-US" w:eastAsia="zh-CN"/>
        </w:rPr>
        <w:t>15000元，合同包二投标保证金30000元</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.2投标保证金任选如下一种形式提交：</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.2.1银行电汇；（开户银行：工商银行沙县青州支行、账户名：福建省青山纸业股份有限公司、账号：1404049409001000160。</w:t>
      </w:r>
      <w:r>
        <w:rPr>
          <w:rFonts w:hint="eastAsia" w:ascii="Times New Roman" w:hAnsi="Times New Roman" w:eastAsia="宋体"/>
          <w:sz w:val="24"/>
          <w:szCs w:val="24"/>
        </w:rPr>
        <w:t>对公转账，</w:t>
      </w:r>
      <w:r>
        <w:rPr>
          <w:rFonts w:ascii="Times New Roman" w:hAnsi="Times New Roman" w:eastAsia="宋体"/>
          <w:sz w:val="24"/>
          <w:szCs w:val="24"/>
        </w:rPr>
        <w:t>注明</w:t>
      </w:r>
      <w:r>
        <w:rPr>
          <w:rFonts w:hint="eastAsia" w:ascii="Times New Roman" w:hAnsi="Times New Roman" w:eastAsia="宋体"/>
          <w:sz w:val="24"/>
          <w:szCs w:val="24"/>
        </w:rPr>
        <w:t>参与的招标编号</w:t>
      </w:r>
      <w:r>
        <w:rPr>
          <w:rFonts w:ascii="Times New Roman" w:hAnsi="Times New Roman" w:eastAsia="宋体"/>
          <w:sz w:val="24"/>
          <w:szCs w:val="24"/>
        </w:rPr>
        <w:t>）。</w:t>
      </w:r>
      <w:r>
        <w:rPr>
          <w:rFonts w:ascii="Times New Roman" w:hAnsi="Times New Roman" w:eastAsia="宋体"/>
          <w:sz w:val="24"/>
          <w:szCs w:val="24"/>
          <w:u w:val="none"/>
        </w:rPr>
        <w:t>银行电汇回单单独密封装订</w:t>
      </w:r>
      <w:r>
        <w:rPr>
          <w:rFonts w:ascii="Times New Roman" w:hAnsi="Times New Roman" w:eastAsia="宋体"/>
          <w:sz w:val="24"/>
          <w:szCs w:val="24"/>
        </w:rPr>
        <w:t>。</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.2.2投标保证金函；若本公司与投标人尚有</w:t>
      </w:r>
      <w:r>
        <w:rPr>
          <w:rFonts w:hint="eastAsia" w:ascii="Times New Roman" w:hAnsi="Times New Roman" w:eastAsia="宋体"/>
          <w:sz w:val="24"/>
          <w:szCs w:val="24"/>
        </w:rPr>
        <w:t>已到期</w:t>
      </w:r>
      <w:r>
        <w:rPr>
          <w:rFonts w:ascii="Times New Roman" w:hAnsi="Times New Roman" w:eastAsia="宋体"/>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w:t>
      </w:r>
      <w:r>
        <w:rPr>
          <w:rFonts w:ascii="Times New Roman" w:hAnsi="Times New Roman" w:eastAsia="宋体"/>
          <w:sz w:val="24"/>
          <w:szCs w:val="24"/>
          <w:u w:val="none"/>
        </w:rPr>
        <w:t>投标保证金函单独密封装订</w:t>
      </w:r>
      <w:r>
        <w:rPr>
          <w:rFonts w:ascii="Times New Roman" w:hAnsi="Times New Roman" w:eastAsia="宋体"/>
          <w:sz w:val="24"/>
          <w:szCs w:val="24"/>
        </w:rPr>
        <w:t>。</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.5中标的投标人的投标保证金，将在中标人签订合同时转为履约保证金，合同按时履行完毕后予以退还，以未结货款转抵形式的将转回未结货款并按正常渠道结算。</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.6如投标人有下列情况发生时，其投标保证金将被不予退还：</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.6.1投标人在投标有效期内撤回投标的；</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.6.2成为中标人后</w:t>
      </w:r>
      <w:r>
        <w:rPr>
          <w:rFonts w:hint="eastAsia" w:ascii="Times New Roman" w:hAnsi="Times New Roman" w:eastAsia="宋体"/>
          <w:sz w:val="24"/>
          <w:szCs w:val="24"/>
        </w:rPr>
        <w:t>5日</w:t>
      </w:r>
      <w:r>
        <w:rPr>
          <w:rFonts w:ascii="Times New Roman" w:hAnsi="Times New Roman" w:eastAsia="宋体"/>
          <w:sz w:val="24"/>
          <w:szCs w:val="24"/>
        </w:rPr>
        <w:t>内，因中标方原因无法签订合同的；</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.6.4其他违反法律规定的。</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13.投标文件要求</w:t>
      </w:r>
      <w:r>
        <w:rPr>
          <w:rFonts w:hint="eastAsia" w:ascii="Times New Roman" w:hAnsi="Times New Roman" w:eastAsia="宋体"/>
          <w:sz w:val="24"/>
          <w:szCs w:val="24"/>
        </w:rPr>
        <w:t>：（内容均须加盖公章）</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四</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w:t>
      </w:r>
      <w:r>
        <w:rPr>
          <w:rFonts w:hint="eastAsia" w:ascii="Times New Roman" w:hAnsi="Times New Roman" w:eastAsia="宋体"/>
          <w:sz w:val="24"/>
          <w:szCs w:val="24"/>
        </w:rPr>
        <w:t>为</w:t>
      </w:r>
      <w:r>
        <w:rPr>
          <w:rFonts w:ascii="Times New Roman" w:hAnsi="Times New Roman" w:eastAsia="宋体"/>
          <w:sz w:val="24"/>
          <w:szCs w:val="24"/>
        </w:rPr>
        <w:t>技术文件，第</w:t>
      </w:r>
      <w:r>
        <w:rPr>
          <w:rFonts w:hint="eastAsia" w:ascii="Times New Roman" w:hAnsi="Times New Roman" w:eastAsia="宋体"/>
          <w:sz w:val="24"/>
          <w:szCs w:val="24"/>
          <w:lang w:eastAsia="zh-CN"/>
        </w:rPr>
        <w:t>四</w:t>
      </w:r>
      <w:r>
        <w:rPr>
          <w:rFonts w:ascii="Times New Roman" w:hAnsi="Times New Roman" w:eastAsia="宋体"/>
          <w:sz w:val="24"/>
          <w:szCs w:val="24"/>
        </w:rPr>
        <w:t>部分为商务文件。</w:t>
      </w:r>
    </w:p>
    <w:p>
      <w:pPr>
        <w:spacing w:line="400" w:lineRule="exact"/>
        <w:ind w:firstLine="480" w:firstLineChars="200"/>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13.1.1投标保证金凭证：银行电汇回单或投标保证金函。</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13</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rPr>
        <w:t>b.第5条“对投标人资格要求”的相应证明资料；c.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w:t>
      </w:r>
      <w:r>
        <w:rPr>
          <w:rFonts w:ascii="Times New Roman" w:hAnsi="Times New Roman" w:eastAsia="宋体"/>
          <w:sz w:val="24"/>
          <w:szCs w:val="24"/>
        </w:rPr>
        <w:t>1</w:t>
      </w:r>
      <w:r>
        <w:rPr>
          <w:rFonts w:hint="eastAsia" w:ascii="Times New Roman" w:hAnsi="Times New Roman" w:eastAsia="宋体"/>
          <w:sz w:val="24"/>
          <w:szCs w:val="24"/>
        </w:rPr>
        <w:t>）</w:t>
      </w:r>
      <w:r>
        <w:rPr>
          <w:rFonts w:ascii="Times New Roman" w:hAnsi="Times New Roman" w:eastAsia="宋体"/>
          <w:sz w:val="24"/>
          <w:szCs w:val="24"/>
        </w:rPr>
        <w:t>；</w:t>
      </w:r>
      <w:r>
        <w:rPr>
          <w:rFonts w:hint="eastAsia" w:ascii="Times New Roman" w:hAnsi="Times New Roman" w:eastAsia="宋体"/>
          <w:sz w:val="24"/>
          <w:szCs w:val="24"/>
        </w:rPr>
        <w:t>d</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3技术文件编制一式二份，包括</w:t>
      </w:r>
      <w:r>
        <w:rPr>
          <w:rFonts w:hint="eastAsia" w:ascii="Times New Roman" w:hAnsi="Times New Roman" w:eastAsia="宋体"/>
          <w:sz w:val="24"/>
          <w:szCs w:val="24"/>
        </w:rPr>
        <w:t>：a.施工方案、安全</w:t>
      </w:r>
      <w:r>
        <w:rPr>
          <w:rFonts w:hint="eastAsia" w:ascii="Times New Roman" w:hAnsi="Times New Roman" w:eastAsia="宋体"/>
          <w:sz w:val="24"/>
          <w:szCs w:val="24"/>
          <w:lang w:eastAsia="zh-CN"/>
        </w:rPr>
        <w:t>措施</w:t>
      </w:r>
      <w:r>
        <w:rPr>
          <w:rFonts w:hint="eastAsia" w:ascii="Times New Roman" w:hAnsi="Times New Roman" w:eastAsia="宋体"/>
          <w:sz w:val="24"/>
          <w:szCs w:val="24"/>
        </w:rPr>
        <w:t>、</w:t>
      </w:r>
      <w:r>
        <w:rPr>
          <w:rFonts w:ascii="Times New Roman" w:hAnsi="Times New Roman" w:eastAsia="宋体"/>
          <w:sz w:val="24"/>
          <w:szCs w:val="24"/>
        </w:rPr>
        <w:t>质量承诺</w:t>
      </w:r>
      <w:r>
        <w:rPr>
          <w:rFonts w:hint="eastAsia" w:ascii="Times New Roman" w:hAnsi="Times New Roman" w:eastAsia="宋体"/>
          <w:sz w:val="24"/>
          <w:szCs w:val="24"/>
        </w:rPr>
        <w:t>等技术方面的文件；b.技术偏离表；c.招标</w:t>
      </w:r>
      <w:r>
        <w:rPr>
          <w:rFonts w:ascii="Times New Roman" w:hAnsi="Times New Roman" w:eastAsia="宋体"/>
          <w:sz w:val="24"/>
          <w:szCs w:val="24"/>
        </w:rPr>
        <w:t>文件要求提供的其它技术方面的文件，等等。</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4商务文件编制一式一份，包括</w:t>
      </w:r>
      <w:r>
        <w:rPr>
          <w:rFonts w:hint="eastAsia" w:ascii="Times New Roman" w:hAnsi="Times New Roman" w:eastAsia="宋体"/>
          <w:sz w:val="24"/>
          <w:szCs w:val="24"/>
        </w:rPr>
        <w:t>：a.投标</w:t>
      </w:r>
      <w:r>
        <w:rPr>
          <w:rFonts w:ascii="Times New Roman" w:hAnsi="Times New Roman" w:eastAsia="宋体"/>
          <w:sz w:val="24"/>
          <w:szCs w:val="24"/>
        </w:rPr>
        <w:t>报价表</w:t>
      </w:r>
      <w:r>
        <w:rPr>
          <w:rFonts w:hint="eastAsia" w:ascii="Times New Roman" w:hAnsi="Times New Roman" w:eastAsia="宋体"/>
          <w:sz w:val="24"/>
          <w:szCs w:val="24"/>
        </w:rPr>
        <w:t>（必须由法定代表人或被授权人签字或盖章）；b.</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.5除</w:t>
      </w:r>
      <w:r>
        <w:rPr>
          <w:rFonts w:hint="eastAsia" w:ascii="Times New Roman" w:hAnsi="Times New Roman" w:eastAsia="宋体"/>
          <w:sz w:val="24"/>
          <w:szCs w:val="24"/>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14.评标小组</w:t>
      </w:r>
      <w:r>
        <w:rPr>
          <w:rFonts w:hint="eastAsia" w:ascii="Times New Roman" w:hAnsi="Times New Roman" w:eastAsia="宋体"/>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15.发布招标公告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lang w:eastAsia="zh-CN"/>
        </w:rPr>
        <w:t>福建省轻纺(控股)有限责任公司</w:t>
      </w:r>
      <w:r>
        <w:rPr>
          <w:rFonts w:hint="eastAsia" w:ascii="Times New Roman" w:hAnsi="Times New Roman" w:eastAsia="宋体"/>
          <w:b w:val="0"/>
          <w:bCs w:val="0"/>
          <w:color w:val="0000FF"/>
          <w:sz w:val="24"/>
          <w:szCs w:val="24"/>
          <w:u w:val="none"/>
          <w:lang w:eastAsia="zh-CN"/>
        </w:rPr>
        <w:fldChar w:fldCharType="begin"/>
      </w:r>
      <w:r>
        <w:rPr>
          <w:rFonts w:hint="eastAsia" w:ascii="Times New Roman" w:hAnsi="Times New Roman" w:eastAsia="宋体"/>
          <w:b w:val="0"/>
          <w:bCs w:val="0"/>
          <w:color w:val="0000FF"/>
          <w:sz w:val="24"/>
          <w:szCs w:val="24"/>
          <w:u w:val="none"/>
          <w:lang w:eastAsia="zh-CN"/>
        </w:rPr>
        <w:instrText xml:space="preserve"> HYPERLINK "http://www.fjqfkg.com" </w:instrText>
      </w:r>
      <w:r>
        <w:rPr>
          <w:rFonts w:hint="eastAsia" w:ascii="Times New Roman" w:hAnsi="Times New Roman" w:eastAsia="宋体"/>
          <w:b w:val="0"/>
          <w:bCs w:val="0"/>
          <w:color w:val="0000FF"/>
          <w:sz w:val="24"/>
          <w:szCs w:val="24"/>
          <w:u w:val="none"/>
          <w:lang w:eastAsia="zh-CN"/>
        </w:rPr>
        <w:fldChar w:fldCharType="separate"/>
      </w:r>
      <w:r>
        <w:rPr>
          <w:rStyle w:val="10"/>
          <w:rFonts w:hint="eastAsia" w:ascii="Times New Roman" w:hAnsi="Times New Roman" w:eastAsia="宋体"/>
          <w:b w:val="0"/>
          <w:bCs w:val="0"/>
          <w:color w:val="0000FF"/>
          <w:sz w:val="24"/>
          <w:szCs w:val="24"/>
          <w:lang w:eastAsia="zh-CN"/>
        </w:rPr>
        <w:t>www.fjqfkg.com</w:t>
      </w:r>
      <w:r>
        <w:rPr>
          <w:rFonts w:hint="eastAsia" w:ascii="Times New Roman" w:hAnsi="Times New Roman" w:eastAsia="宋体"/>
          <w:b w:val="0"/>
          <w:bCs w:val="0"/>
          <w:color w:val="0000FF"/>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spacing w:line="400" w:lineRule="exact"/>
        <w:ind w:firstLine="482" w:firstLineChars="200"/>
        <w:rPr>
          <w:rFonts w:hint="eastAsia" w:ascii="Times New Roman" w:hAnsi="Times New Roman" w:eastAsia="宋体"/>
          <w:sz w:val="24"/>
          <w:szCs w:val="24"/>
        </w:rPr>
      </w:pPr>
      <w:r>
        <w:rPr>
          <w:rFonts w:hint="eastAsia" w:ascii="Times New Roman" w:hAnsi="Times New Roman" w:eastAsia="宋体"/>
          <w:b/>
          <w:bCs/>
          <w:sz w:val="24"/>
          <w:szCs w:val="24"/>
          <w:lang w:val="en-US" w:eastAsia="zh-CN"/>
        </w:rPr>
        <w:t>16.</w:t>
      </w:r>
      <w:r>
        <w:rPr>
          <w:rFonts w:hint="eastAsia" w:ascii="Times New Roman" w:hAnsi="Times New Roman" w:eastAsia="宋体"/>
          <w:b/>
          <w:bCs/>
          <w:sz w:val="24"/>
          <w:szCs w:val="24"/>
        </w:rPr>
        <w:t>联系方式：</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招标办公室</w:t>
      </w:r>
      <w:r>
        <w:rPr>
          <w:rFonts w:hint="eastAsia" w:ascii="Times New Roman" w:hAnsi="Times New Roman" w:eastAsia="宋体"/>
          <w:sz w:val="24"/>
          <w:szCs w:val="24"/>
          <w:lang w:eastAsia="zh-CN"/>
        </w:rPr>
        <w:t>：</w:t>
      </w:r>
      <w:r>
        <w:rPr>
          <w:rFonts w:hint="eastAsia" w:ascii="Times New Roman" w:hAnsi="Times New Roman" w:eastAsia="宋体"/>
          <w:sz w:val="24"/>
          <w:szCs w:val="24"/>
        </w:rPr>
        <w:t>刘玲</w:t>
      </w:r>
      <w:r>
        <w:rPr>
          <w:rFonts w:ascii="Times New Roman" w:hAnsi="Times New Roman" w:eastAsia="宋体"/>
          <w:sz w:val="24"/>
          <w:szCs w:val="24"/>
        </w:rPr>
        <w:t>0598-5658595</w:t>
      </w:r>
    </w:p>
    <w:p>
      <w:pPr>
        <w:spacing w:line="400" w:lineRule="exact"/>
        <w:ind w:firstLine="480" w:firstLineChars="200"/>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商务联系人：陈初发18065988339（设备部）</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技术联系人</w:t>
      </w:r>
      <w:r>
        <w:rPr>
          <w:rFonts w:hint="eastAsia" w:ascii="Times New Roman" w:hAnsi="Times New Roman" w:eastAsia="宋体"/>
          <w:sz w:val="24"/>
          <w:szCs w:val="24"/>
          <w:lang w:eastAsia="zh-CN"/>
        </w:rPr>
        <w:t>：</w:t>
      </w:r>
      <w:r>
        <w:rPr>
          <w:rFonts w:hint="eastAsia" w:ascii="Times New Roman" w:hAnsi="Times New Roman" w:eastAsia="宋体"/>
          <w:sz w:val="24"/>
          <w:szCs w:val="24"/>
        </w:rPr>
        <w:t>王永昌13850826797</w:t>
      </w:r>
      <w:r>
        <w:rPr>
          <w:rFonts w:hint="eastAsia" w:ascii="Times New Roman" w:hAnsi="Times New Roman" w:eastAsia="宋体"/>
          <w:sz w:val="24"/>
          <w:szCs w:val="24"/>
          <w:lang w:eastAsia="zh-CN"/>
        </w:rPr>
        <w:t>（</w:t>
      </w:r>
      <w:r>
        <w:rPr>
          <w:rFonts w:hint="eastAsia" w:ascii="Times New Roman" w:hAnsi="Times New Roman" w:eastAsia="宋体"/>
          <w:sz w:val="24"/>
          <w:szCs w:val="24"/>
        </w:rPr>
        <w:t>合同包一</w:t>
      </w:r>
      <w:r>
        <w:rPr>
          <w:rFonts w:hint="eastAsia" w:ascii="Times New Roman" w:hAnsi="Times New Roman" w:eastAsia="宋体"/>
          <w:sz w:val="24"/>
          <w:szCs w:val="24"/>
          <w:lang w:eastAsia="zh-CN"/>
        </w:rPr>
        <w:t>）</w:t>
      </w:r>
      <w:r>
        <w:rPr>
          <w:rFonts w:hint="eastAsia" w:ascii="Times New Roman" w:hAnsi="Times New Roman" w:eastAsia="宋体"/>
          <w:sz w:val="24"/>
          <w:szCs w:val="24"/>
        </w:rPr>
        <w:t>、陈初发18065988339</w:t>
      </w:r>
      <w:r>
        <w:rPr>
          <w:rFonts w:hint="eastAsia" w:ascii="Times New Roman" w:hAnsi="Times New Roman" w:eastAsia="宋体"/>
          <w:sz w:val="24"/>
          <w:szCs w:val="24"/>
          <w:lang w:eastAsia="zh-CN"/>
        </w:rPr>
        <w:t>（</w:t>
      </w:r>
      <w:r>
        <w:rPr>
          <w:rFonts w:hint="eastAsia" w:ascii="Times New Roman" w:hAnsi="Times New Roman" w:eastAsia="宋体"/>
          <w:sz w:val="24"/>
          <w:szCs w:val="24"/>
        </w:rPr>
        <w:t>合同包二</w:t>
      </w:r>
      <w:r>
        <w:rPr>
          <w:rFonts w:ascii="Times New Roman" w:hAnsi="Times New Roman" w:eastAsia="宋体"/>
          <w:sz w:val="24"/>
          <w:szCs w:val="24"/>
        </w:rPr>
        <w:t>）</w:t>
      </w:r>
    </w:p>
    <w:p>
      <w:pPr>
        <w:spacing w:line="400" w:lineRule="exact"/>
        <w:rPr>
          <w:rFonts w:hint="eastAsia" w:ascii="Times New Roman" w:hAnsi="Times New Roman" w:eastAsia="宋体"/>
          <w:sz w:val="24"/>
          <w:szCs w:val="24"/>
        </w:rPr>
      </w:pP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附件1：法定代表人授权书（格式）</w:t>
      </w:r>
    </w:p>
    <w:p>
      <w:pPr>
        <w:spacing w:line="400" w:lineRule="exact"/>
        <w:ind w:firstLine="480" w:firstLineChars="200"/>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2：投标报价表</w:t>
      </w:r>
    </w:p>
    <w:p>
      <w:pPr>
        <w:spacing w:line="400" w:lineRule="exact"/>
        <w:ind w:firstLine="480" w:firstLineChars="200"/>
        <w:rPr>
          <w:rFonts w:hint="eastAsia" w:ascii="Times New Roman" w:hAnsi="Times New Roman" w:eastAsia="宋体"/>
          <w:sz w:val="24"/>
          <w:szCs w:val="24"/>
          <w:lang w:val="en-US" w:eastAsia="zh-CN"/>
        </w:rPr>
      </w:pPr>
    </w:p>
    <w:p>
      <w:pPr>
        <w:spacing w:line="400" w:lineRule="exact"/>
        <w:jc w:val="right"/>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wordWrap w:val="0"/>
        <w:spacing w:line="400" w:lineRule="exact"/>
        <w:jc w:val="right"/>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wordWrap w:val="0"/>
        <w:spacing w:line="400" w:lineRule="exact"/>
        <w:jc w:val="right"/>
        <w:rPr>
          <w:rFonts w:hint="eastAsia" w:ascii="Times New Roman" w:hAnsi="Times New Roman" w:eastAsia="宋体"/>
          <w:sz w:val="24"/>
          <w:szCs w:val="24"/>
          <w:lang w:eastAsia="zh-CN"/>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2</w:t>
      </w:r>
      <w:r>
        <w:rPr>
          <w:rFonts w:ascii="Times New Roman" w:hAnsi="Times New Roman" w:eastAsia="宋体"/>
          <w:sz w:val="24"/>
          <w:szCs w:val="24"/>
        </w:rPr>
        <w:t>年</w:t>
      </w:r>
      <w:r>
        <w:rPr>
          <w:rFonts w:hint="eastAsia" w:ascii="Times New Roman" w:hAnsi="Times New Roman" w:eastAsia="宋体"/>
          <w:sz w:val="24"/>
          <w:szCs w:val="24"/>
        </w:rPr>
        <w:t>11</w:t>
      </w:r>
      <w:r>
        <w:rPr>
          <w:rFonts w:ascii="Times New Roman" w:hAnsi="Times New Roman" w:eastAsia="宋体"/>
          <w:sz w:val="24"/>
          <w:szCs w:val="24"/>
        </w:rPr>
        <w:t>月</w:t>
      </w:r>
      <w:r>
        <w:rPr>
          <w:rFonts w:hint="eastAsia" w:ascii="Times New Roman" w:hAnsi="Times New Roman" w:eastAsia="宋体"/>
          <w:sz w:val="24"/>
          <w:szCs w:val="24"/>
          <w:lang w:val="en-US" w:eastAsia="zh-CN"/>
        </w:rPr>
        <w:t>30</w:t>
      </w:r>
      <w:r>
        <w:rPr>
          <w:rFonts w:ascii="Times New Roman" w:hAnsi="Times New Roman" w:eastAsia="宋体"/>
          <w:sz w:val="24"/>
          <w:szCs w:val="24"/>
        </w:rPr>
        <w:t>日</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lang w:eastAsia="zh-CN"/>
        </w:rPr>
        <w:t>　　</w:t>
      </w:r>
    </w:p>
    <w:p>
      <w:pPr>
        <w:spacing w:line="400" w:lineRule="exact"/>
        <w:jc w:val="both"/>
        <w:rPr>
          <w:rFonts w:ascii="Times New Roman" w:hAnsi="Times New Roman" w:eastAsia="宋体"/>
          <w:bCs/>
          <w:sz w:val="24"/>
          <w:szCs w:val="24"/>
        </w:rPr>
      </w:pPr>
      <w:r>
        <w:rPr>
          <w:rFonts w:ascii="Times New Roman" w:hAnsi="Times New Roman" w:eastAsia="宋体"/>
          <w:bCs/>
          <w:sz w:val="24"/>
          <w:szCs w:val="24"/>
        </w:rPr>
        <w:br w:type="page"/>
      </w:r>
    </w:p>
    <w:p>
      <w:pPr>
        <w:spacing w:line="410" w:lineRule="exact"/>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t>附件1：法定代表人授权书（格式）</w:t>
      </w:r>
    </w:p>
    <w:p>
      <w:pPr>
        <w:spacing w:line="410" w:lineRule="exact"/>
        <w:rPr>
          <w:rFonts w:hint="eastAsia" w:ascii="Times New Roman" w:hAnsi="Times New Roman" w:eastAsia="宋体" w:cs="Times New Roman"/>
          <w:bCs/>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spacing w:line="460" w:lineRule="exact"/>
        <w:ind w:firstLine="4320" w:firstLineChars="1800"/>
        <w:rPr>
          <w:rFonts w:ascii="Times New Roman" w:hAnsi="Times New Roman" w:eastAsia="宋体" w:cs="Times New Roman"/>
          <w:bCs/>
          <w:sz w:val="24"/>
          <w:szCs w:val="24"/>
          <w:u w:val="single"/>
        </w:rPr>
      </w:pPr>
    </w:p>
    <w:p>
      <w:pPr>
        <w:rPr>
          <w:rFonts w:hint="eastAsia" w:ascii="Times New Roman" w:hAnsi="Times New Roman" w:eastAsia="宋体" w:cs="Times New Roman"/>
          <w:bCs/>
          <w:sz w:val="24"/>
          <w:szCs w:val="24"/>
          <w:u w:val="single"/>
        </w:rPr>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pPr>
    </w:p>
    <w:p>
      <w:pPr>
        <w:spacing w:line="400" w:lineRule="exact"/>
        <w:jc w:val="left"/>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附件2</w:t>
      </w:r>
      <w:bookmarkStart w:id="0" w:name="_GoBack"/>
      <w:bookmarkEnd w:id="0"/>
      <w:r>
        <w:rPr>
          <w:rFonts w:hint="eastAsia" w:ascii="Times New Roman" w:hAnsi="Times New Roman" w:eastAsia="宋体" w:cs="Times New Roman"/>
          <w:bCs/>
          <w:sz w:val="24"/>
          <w:szCs w:val="24"/>
        </w:rPr>
        <w:t>：投标报价表</w:t>
      </w:r>
    </w:p>
    <w:p>
      <w:pPr>
        <w:spacing w:line="400" w:lineRule="exact"/>
        <w:jc w:val="left"/>
        <w:rPr>
          <w:rFonts w:ascii="Times New Roman" w:hAnsi="Times New Roman" w:eastAsia="宋体" w:cs="Times New Roman"/>
          <w:bCs/>
          <w:sz w:val="24"/>
          <w:szCs w:val="24"/>
        </w:rPr>
      </w:pPr>
    </w:p>
    <w:p>
      <w:pPr>
        <w:spacing w:line="400" w:lineRule="exact"/>
        <w:jc w:val="center"/>
        <w:rPr>
          <w:rFonts w:ascii="Times New Roman" w:hAnsi="Times New Roman" w:eastAsia="宋体" w:cs="Times New Roman"/>
          <w:b/>
          <w:sz w:val="30"/>
          <w:szCs w:val="30"/>
        </w:rPr>
      </w:pPr>
      <w:r>
        <w:rPr>
          <w:rFonts w:hint="eastAsia" w:ascii="Times New Roman" w:hAnsi="Times New Roman" w:eastAsia="宋体" w:cs="Times New Roman"/>
          <w:b/>
          <w:sz w:val="32"/>
          <w:szCs w:val="32"/>
        </w:rPr>
        <w:t>投 标 报 价 表</w:t>
      </w:r>
    </w:p>
    <w:p>
      <w:pPr>
        <w:spacing w:after="156" w:afterLines="50" w:line="400" w:lineRule="exact"/>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(招标编号：202</w:t>
      </w:r>
      <w:r>
        <w:rPr>
          <w:rFonts w:hint="eastAsia"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rPr>
        <w:t>SB</w:t>
      </w:r>
      <w:r>
        <w:rPr>
          <w:rFonts w:hint="eastAsia" w:ascii="Times New Roman" w:hAnsi="Times New Roman" w:eastAsia="宋体" w:cs="Times New Roman"/>
          <w:bCs/>
          <w:sz w:val="24"/>
          <w:szCs w:val="24"/>
          <w:lang w:val="en-US" w:eastAsia="zh-CN"/>
        </w:rPr>
        <w:t>289</w:t>
      </w:r>
      <w:r>
        <w:rPr>
          <w:rFonts w:hint="eastAsia" w:ascii="Times New Roman" w:hAnsi="Times New Roman" w:eastAsia="宋体" w:cs="Times New Roman"/>
          <w:bCs/>
          <w:sz w:val="24"/>
          <w:szCs w:val="24"/>
        </w:rPr>
        <w:t>)</w:t>
      </w:r>
    </w:p>
    <w:p>
      <w:pPr>
        <w:spacing w:after="156" w:afterLines="50" w:line="400" w:lineRule="exact"/>
        <w:ind w:firstLine="482" w:firstLineChars="200"/>
        <w:rPr>
          <w:rFonts w:ascii="Times New Roman" w:hAnsi="Times New Roman" w:eastAsia="宋体" w:cs="Times New Roman"/>
          <w:bCs/>
          <w:sz w:val="24"/>
          <w:szCs w:val="24"/>
        </w:rPr>
      </w:pPr>
      <w:r>
        <w:rPr>
          <w:rFonts w:hint="eastAsia" w:ascii="Times New Roman" w:hAnsi="Times New Roman" w:eastAsia="宋体" w:cs="Times New Roman"/>
          <w:b/>
          <w:sz w:val="24"/>
          <w:szCs w:val="24"/>
        </w:rPr>
        <w:t>一、优惠率K值报价</w:t>
      </w:r>
    </w:p>
    <w:tbl>
      <w:tblPr>
        <w:tblStyle w:val="11"/>
        <w:tblW w:w="8804" w:type="dxa"/>
        <w:jc w:val="center"/>
        <w:tblInd w:w="0" w:type="dxa"/>
        <w:tblLayout w:type="fixed"/>
        <w:tblCellMar>
          <w:top w:w="0" w:type="dxa"/>
          <w:left w:w="0" w:type="dxa"/>
          <w:bottom w:w="0" w:type="dxa"/>
          <w:right w:w="0" w:type="dxa"/>
        </w:tblCellMar>
      </w:tblPr>
      <w:tblGrid>
        <w:gridCol w:w="1806"/>
        <w:gridCol w:w="3067"/>
        <w:gridCol w:w="2300"/>
        <w:gridCol w:w="1631"/>
      </w:tblGrid>
      <w:tr>
        <w:tblPrEx>
          <w:tblLayout w:type="fixed"/>
        </w:tblPrEx>
        <w:trPr>
          <w:trHeight w:val="567" w:hRule="atLeast"/>
          <w:jc w:val="center"/>
        </w:trPr>
        <w:tc>
          <w:tcPr>
            <w:tcW w:w="18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kern w:val="0"/>
                <w:sz w:val="24"/>
                <w:szCs w:val="24"/>
                <w:lang w:bidi="ar"/>
              </w:rPr>
              <w:t>合同包号</w:t>
            </w:r>
          </w:p>
        </w:tc>
        <w:tc>
          <w:tcPr>
            <w:tcW w:w="3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kern w:val="0"/>
                <w:sz w:val="24"/>
                <w:szCs w:val="24"/>
                <w:lang w:bidi="ar"/>
              </w:rPr>
              <w:t>项目</w:t>
            </w:r>
          </w:p>
        </w:tc>
        <w:tc>
          <w:tcPr>
            <w:tcW w:w="23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kern w:val="0"/>
                <w:sz w:val="24"/>
                <w:szCs w:val="24"/>
                <w:lang w:bidi="ar"/>
              </w:rPr>
              <w:t>报价(优惠率K值)</w:t>
            </w:r>
          </w:p>
        </w:tc>
        <w:tc>
          <w:tcPr>
            <w:tcW w:w="1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kern w:val="0"/>
                <w:sz w:val="24"/>
                <w:szCs w:val="24"/>
                <w:lang w:bidi="ar"/>
              </w:rPr>
              <w:t>税率</w:t>
            </w:r>
          </w:p>
        </w:tc>
      </w:tr>
      <w:tr>
        <w:tblPrEx>
          <w:tblLayout w:type="fixed"/>
          <w:tblCellMar>
            <w:top w:w="0" w:type="dxa"/>
            <w:left w:w="0" w:type="dxa"/>
            <w:bottom w:w="0" w:type="dxa"/>
            <w:right w:w="0" w:type="dxa"/>
          </w:tblCellMar>
        </w:tblPrEx>
        <w:trPr>
          <w:trHeight w:val="567" w:hRule="atLeast"/>
          <w:jc w:val="center"/>
        </w:trPr>
        <w:tc>
          <w:tcPr>
            <w:tcW w:w="18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kern w:val="0"/>
                <w:sz w:val="24"/>
                <w:szCs w:val="24"/>
                <w:lang w:bidi="ar"/>
              </w:rPr>
              <w:t>合同包一</w:t>
            </w:r>
          </w:p>
        </w:tc>
        <w:tc>
          <w:tcPr>
            <w:tcW w:w="3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kern w:val="0"/>
                <w:sz w:val="24"/>
                <w:szCs w:val="24"/>
                <w:lang w:bidi="ar"/>
              </w:rPr>
              <w:t>脚手架项目</w:t>
            </w:r>
          </w:p>
        </w:tc>
        <w:tc>
          <w:tcPr>
            <w:tcW w:w="23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color w:val="000000"/>
                <w:sz w:val="24"/>
                <w:szCs w:val="24"/>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color w:val="000000"/>
                <w:sz w:val="24"/>
                <w:szCs w:val="24"/>
              </w:rPr>
            </w:pPr>
          </w:p>
        </w:tc>
      </w:tr>
      <w:tr>
        <w:tblPrEx>
          <w:tblLayout w:type="fixed"/>
          <w:tblCellMar>
            <w:top w:w="0" w:type="dxa"/>
            <w:left w:w="0" w:type="dxa"/>
            <w:bottom w:w="0" w:type="dxa"/>
            <w:right w:w="0" w:type="dxa"/>
          </w:tblCellMar>
        </w:tblPrEx>
        <w:trPr>
          <w:trHeight w:val="567" w:hRule="atLeast"/>
          <w:jc w:val="center"/>
        </w:trPr>
        <w:tc>
          <w:tcPr>
            <w:tcW w:w="18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kern w:val="0"/>
                <w:sz w:val="24"/>
                <w:szCs w:val="24"/>
                <w:lang w:bidi="ar"/>
              </w:rPr>
              <w:t>合同包二</w:t>
            </w:r>
          </w:p>
        </w:tc>
        <w:tc>
          <w:tcPr>
            <w:tcW w:w="3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kern w:val="0"/>
                <w:sz w:val="24"/>
                <w:szCs w:val="24"/>
                <w:lang w:bidi="ar"/>
              </w:rPr>
              <w:t>防腐保温等零星项目</w:t>
            </w:r>
          </w:p>
        </w:tc>
        <w:tc>
          <w:tcPr>
            <w:tcW w:w="23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color w:val="000000"/>
                <w:sz w:val="24"/>
                <w:szCs w:val="24"/>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color w:val="000000"/>
                <w:sz w:val="24"/>
                <w:szCs w:val="24"/>
              </w:rPr>
            </w:pPr>
          </w:p>
        </w:tc>
      </w:tr>
      <w:tr>
        <w:tblPrEx>
          <w:tblLayout w:type="fixed"/>
          <w:tblCellMar>
            <w:top w:w="0" w:type="dxa"/>
            <w:left w:w="0" w:type="dxa"/>
            <w:bottom w:w="0" w:type="dxa"/>
            <w:right w:w="0" w:type="dxa"/>
          </w:tblCellMar>
        </w:tblPrEx>
        <w:trPr>
          <w:trHeight w:val="567" w:hRule="atLeast"/>
          <w:jc w:val="center"/>
        </w:trPr>
        <w:tc>
          <w:tcPr>
            <w:tcW w:w="880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　备注：</w:t>
            </w:r>
          </w:p>
        </w:tc>
      </w:tr>
    </w:tbl>
    <w:p>
      <w:pPr>
        <w:spacing w:before="156" w:beforeLines="50" w:after="156" w:afterLines="50" w:line="460" w:lineRule="exact"/>
        <w:ind w:firstLine="482" w:firstLineChars="200"/>
        <w:rPr>
          <w:rFonts w:ascii="Times New Roman" w:hAnsi="Times New Roman" w:eastAsia="宋体" w:cs="Times New Roman"/>
          <w:bCs/>
          <w:sz w:val="24"/>
          <w:szCs w:val="24"/>
        </w:rPr>
      </w:pPr>
      <w:r>
        <w:rPr>
          <w:rFonts w:hint="eastAsia" w:ascii="Times New Roman" w:hAnsi="Times New Roman" w:eastAsia="宋体" w:cs="Times New Roman"/>
          <w:b/>
          <w:sz w:val="24"/>
          <w:szCs w:val="24"/>
        </w:rPr>
        <w:t>二、部分材料价格结算依据表</w:t>
      </w:r>
    </w:p>
    <w:tbl>
      <w:tblPr>
        <w:tblStyle w:val="11"/>
        <w:tblW w:w="88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2"/>
        <w:gridCol w:w="1755"/>
        <w:gridCol w:w="2175"/>
        <w:gridCol w:w="2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835" w:type="dxa"/>
            <w:gridSpan w:val="4"/>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202</w:t>
            </w: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年度零星保温防腐材料（不含税价格）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主要材料名称</w:t>
            </w:r>
          </w:p>
        </w:tc>
        <w:tc>
          <w:tcPr>
            <w:tcW w:w="175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单  位</w:t>
            </w:r>
          </w:p>
        </w:tc>
        <w:tc>
          <w:tcPr>
            <w:tcW w:w="217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单  价（元）</w:t>
            </w:r>
          </w:p>
        </w:tc>
        <w:tc>
          <w:tcPr>
            <w:tcW w:w="2383"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材料品牌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铝板</w:t>
            </w:r>
          </w:p>
        </w:tc>
        <w:tc>
          <w:tcPr>
            <w:tcW w:w="175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kg</w:t>
            </w:r>
          </w:p>
        </w:tc>
        <w:tc>
          <w:tcPr>
            <w:tcW w:w="2175" w:type="dxa"/>
            <w:vAlign w:val="center"/>
          </w:tcPr>
          <w:p>
            <w:pPr>
              <w:jc w:val="center"/>
              <w:rPr>
                <w:rFonts w:hint="eastAsia" w:ascii="Times New Roman" w:hAnsi="Times New Roman" w:eastAsia="宋体" w:cs="宋体"/>
                <w:dstrike/>
                <w:sz w:val="24"/>
                <w:szCs w:val="24"/>
                <w:lang w:val="en-US" w:eastAsia="zh-CN"/>
              </w:rPr>
            </w:pPr>
            <w:r>
              <w:rPr>
                <w:rFonts w:hint="eastAsia" w:ascii="Times New Roman" w:hAnsi="Times New Roman" w:eastAsia="宋体" w:cs="宋体"/>
                <w:sz w:val="24"/>
                <w:szCs w:val="24"/>
              </w:rPr>
              <w:t>16.</w:t>
            </w:r>
            <w:r>
              <w:rPr>
                <w:rFonts w:hint="eastAsia" w:ascii="Times New Roman" w:hAnsi="Times New Roman" w:eastAsia="宋体" w:cs="宋体"/>
                <w:sz w:val="24"/>
                <w:szCs w:val="24"/>
                <w:lang w:val="en-US" w:eastAsia="zh-CN"/>
              </w:rPr>
              <w:t>10</w:t>
            </w:r>
          </w:p>
        </w:tc>
        <w:tc>
          <w:tcPr>
            <w:tcW w:w="2383" w:type="dxa"/>
            <w:vAlign w:val="center"/>
          </w:tcPr>
          <w:p>
            <w:pPr>
              <w:jc w:val="center"/>
              <w:rPr>
                <w:rFonts w:ascii="Times New Roman" w:hAnsi="Times New Roman"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岩棉板</w:t>
            </w:r>
          </w:p>
        </w:tc>
        <w:tc>
          <w:tcPr>
            <w:tcW w:w="175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立方</w:t>
            </w:r>
          </w:p>
        </w:tc>
        <w:tc>
          <w:tcPr>
            <w:tcW w:w="2175" w:type="dxa"/>
            <w:vAlign w:val="center"/>
          </w:tcPr>
          <w:p>
            <w:pPr>
              <w:jc w:val="center"/>
              <w:rPr>
                <w:rFonts w:hint="eastAsia" w:ascii="Times New Roman" w:hAnsi="Times New Roman" w:eastAsia="宋体" w:cs="宋体"/>
                <w:dstrike/>
                <w:sz w:val="24"/>
                <w:szCs w:val="24"/>
                <w:lang w:val="en-US" w:eastAsia="zh-CN"/>
              </w:rPr>
            </w:pPr>
            <w:r>
              <w:rPr>
                <w:rFonts w:hint="eastAsia" w:ascii="Times New Roman" w:hAnsi="Times New Roman" w:eastAsia="宋体" w:cs="宋体"/>
                <w:sz w:val="24"/>
                <w:szCs w:val="24"/>
                <w:lang w:val="en-US" w:eastAsia="zh-CN"/>
              </w:rPr>
              <w:t>270</w:t>
            </w:r>
          </w:p>
        </w:tc>
        <w:tc>
          <w:tcPr>
            <w:tcW w:w="2383" w:type="dxa"/>
            <w:vAlign w:val="center"/>
          </w:tcPr>
          <w:p>
            <w:pPr>
              <w:jc w:val="center"/>
              <w:rPr>
                <w:rFonts w:ascii="Times New Roman" w:hAnsi="Times New Roman"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岩棉管壳</w:t>
            </w:r>
          </w:p>
        </w:tc>
        <w:tc>
          <w:tcPr>
            <w:tcW w:w="175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立方</w:t>
            </w:r>
          </w:p>
        </w:tc>
        <w:tc>
          <w:tcPr>
            <w:tcW w:w="2175" w:type="dxa"/>
            <w:vAlign w:val="center"/>
          </w:tcPr>
          <w:p>
            <w:pPr>
              <w:jc w:val="center"/>
              <w:rPr>
                <w:rFonts w:hint="eastAsia" w:ascii="Times New Roman" w:hAnsi="Times New Roman" w:eastAsia="宋体" w:cs="宋体"/>
                <w:dstrike/>
                <w:sz w:val="24"/>
                <w:szCs w:val="24"/>
                <w:lang w:val="en-US" w:eastAsia="zh-CN"/>
              </w:rPr>
            </w:pPr>
            <w:r>
              <w:rPr>
                <w:rFonts w:hint="eastAsia" w:ascii="Times New Roman" w:hAnsi="Times New Roman" w:eastAsia="宋体" w:cs="宋体"/>
                <w:sz w:val="24"/>
                <w:szCs w:val="24"/>
                <w:lang w:val="en-US" w:eastAsia="zh-CN"/>
              </w:rPr>
              <w:t>345</w:t>
            </w:r>
          </w:p>
        </w:tc>
        <w:tc>
          <w:tcPr>
            <w:tcW w:w="2383" w:type="dxa"/>
            <w:vAlign w:val="center"/>
          </w:tcPr>
          <w:p>
            <w:pPr>
              <w:jc w:val="center"/>
              <w:rPr>
                <w:rFonts w:ascii="Times New Roman" w:hAnsi="Times New Roman"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复合硅酸盐</w:t>
            </w:r>
          </w:p>
        </w:tc>
        <w:tc>
          <w:tcPr>
            <w:tcW w:w="175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立方</w:t>
            </w:r>
          </w:p>
        </w:tc>
        <w:tc>
          <w:tcPr>
            <w:tcW w:w="2175" w:type="dxa"/>
            <w:vAlign w:val="center"/>
          </w:tcPr>
          <w:p>
            <w:pPr>
              <w:jc w:val="center"/>
              <w:rPr>
                <w:rFonts w:hint="eastAsia" w:ascii="Times New Roman" w:hAnsi="Times New Roman" w:eastAsia="宋体" w:cs="宋体"/>
                <w:dstrike/>
                <w:sz w:val="24"/>
                <w:szCs w:val="24"/>
                <w:lang w:val="en-US" w:eastAsia="zh-CN"/>
              </w:rPr>
            </w:pPr>
            <w:r>
              <w:rPr>
                <w:rFonts w:hint="eastAsia" w:ascii="Times New Roman" w:hAnsi="Times New Roman" w:eastAsia="宋体" w:cs="宋体"/>
                <w:sz w:val="24"/>
                <w:szCs w:val="24"/>
                <w:lang w:val="en-US" w:eastAsia="zh-CN"/>
              </w:rPr>
              <w:t>340</w:t>
            </w:r>
          </w:p>
        </w:tc>
        <w:tc>
          <w:tcPr>
            <w:tcW w:w="2383" w:type="dxa"/>
            <w:vAlign w:val="center"/>
          </w:tcPr>
          <w:p>
            <w:pPr>
              <w:jc w:val="center"/>
              <w:rPr>
                <w:rFonts w:ascii="Times New Roman" w:hAnsi="Times New Roman"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复合硅酸铝</w:t>
            </w:r>
          </w:p>
        </w:tc>
        <w:tc>
          <w:tcPr>
            <w:tcW w:w="175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立方</w:t>
            </w:r>
          </w:p>
        </w:tc>
        <w:tc>
          <w:tcPr>
            <w:tcW w:w="2175" w:type="dxa"/>
            <w:vAlign w:val="center"/>
          </w:tcPr>
          <w:p>
            <w:pPr>
              <w:jc w:val="center"/>
              <w:rPr>
                <w:rFonts w:hint="eastAsia" w:ascii="Times New Roman" w:hAnsi="Times New Roman" w:eastAsia="宋体" w:cs="宋体"/>
                <w:dstrike/>
                <w:sz w:val="24"/>
                <w:szCs w:val="24"/>
                <w:lang w:val="en-US" w:eastAsia="zh-CN"/>
              </w:rPr>
            </w:pPr>
            <w:r>
              <w:rPr>
                <w:rFonts w:hint="eastAsia" w:ascii="Times New Roman" w:hAnsi="Times New Roman" w:eastAsia="宋体" w:cs="宋体"/>
                <w:sz w:val="24"/>
                <w:szCs w:val="24"/>
                <w:lang w:val="en-US" w:eastAsia="zh-CN"/>
              </w:rPr>
              <w:t>380</w:t>
            </w:r>
          </w:p>
        </w:tc>
        <w:tc>
          <w:tcPr>
            <w:tcW w:w="2383" w:type="dxa"/>
            <w:vAlign w:val="center"/>
          </w:tcPr>
          <w:p>
            <w:pPr>
              <w:jc w:val="center"/>
              <w:rPr>
                <w:rFonts w:ascii="Times New Roman" w:hAnsi="Times New Roman"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醇酸磁漆</w:t>
            </w:r>
          </w:p>
        </w:tc>
        <w:tc>
          <w:tcPr>
            <w:tcW w:w="175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kg</w:t>
            </w:r>
          </w:p>
        </w:tc>
        <w:tc>
          <w:tcPr>
            <w:tcW w:w="2175" w:type="dxa"/>
            <w:vAlign w:val="center"/>
          </w:tcPr>
          <w:p>
            <w:pPr>
              <w:jc w:val="center"/>
              <w:rPr>
                <w:rFonts w:ascii="Times New Roman" w:hAnsi="Times New Roman" w:eastAsia="宋体" w:cs="宋体"/>
                <w:dstrike/>
                <w:sz w:val="24"/>
                <w:szCs w:val="24"/>
              </w:rPr>
            </w:pPr>
            <w:r>
              <w:rPr>
                <w:rFonts w:hint="eastAsia" w:ascii="Times New Roman" w:hAnsi="Times New Roman" w:eastAsia="宋体" w:cs="宋体"/>
                <w:sz w:val="24"/>
                <w:szCs w:val="24"/>
              </w:rPr>
              <w:t>按信息价</w:t>
            </w:r>
          </w:p>
        </w:tc>
        <w:tc>
          <w:tcPr>
            <w:tcW w:w="2383" w:type="dxa"/>
            <w:vAlign w:val="center"/>
          </w:tcPr>
          <w:p>
            <w:pPr>
              <w:jc w:val="center"/>
              <w:rPr>
                <w:rFonts w:ascii="Times New Roman" w:hAnsi="Times New Roman"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酚醛磁漆</w:t>
            </w:r>
          </w:p>
        </w:tc>
        <w:tc>
          <w:tcPr>
            <w:tcW w:w="175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kg</w:t>
            </w:r>
          </w:p>
        </w:tc>
        <w:tc>
          <w:tcPr>
            <w:tcW w:w="2175" w:type="dxa"/>
            <w:vAlign w:val="center"/>
          </w:tcPr>
          <w:p>
            <w:pPr>
              <w:jc w:val="center"/>
              <w:rPr>
                <w:rFonts w:ascii="Times New Roman" w:hAnsi="Times New Roman" w:eastAsia="宋体" w:cs="宋体"/>
                <w:dstrike/>
                <w:sz w:val="24"/>
                <w:szCs w:val="24"/>
              </w:rPr>
            </w:pPr>
            <w:r>
              <w:rPr>
                <w:rFonts w:hint="eastAsia" w:ascii="Times New Roman" w:hAnsi="Times New Roman" w:eastAsia="宋体" w:cs="宋体"/>
                <w:sz w:val="24"/>
                <w:szCs w:val="24"/>
              </w:rPr>
              <w:t>15.00</w:t>
            </w:r>
          </w:p>
        </w:tc>
        <w:tc>
          <w:tcPr>
            <w:tcW w:w="2383" w:type="dxa"/>
            <w:vAlign w:val="center"/>
          </w:tcPr>
          <w:p>
            <w:pPr>
              <w:jc w:val="center"/>
              <w:rPr>
                <w:rFonts w:ascii="Times New Roman" w:hAnsi="Times New Roman"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22"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保温用镀锌铁丝网</w:t>
            </w:r>
          </w:p>
        </w:tc>
        <w:tc>
          <w:tcPr>
            <w:tcW w:w="1755" w:type="dxa"/>
            <w:vAlign w:val="center"/>
          </w:tcPr>
          <w:p>
            <w:pPr>
              <w:jc w:val="center"/>
              <w:rPr>
                <w:rFonts w:ascii="Times New Roman" w:hAnsi="Times New Roman" w:eastAsia="宋体" w:cs="宋体"/>
                <w:sz w:val="24"/>
                <w:szCs w:val="24"/>
                <w:vertAlign w:val="superscript"/>
              </w:rPr>
            </w:pPr>
            <w:r>
              <w:rPr>
                <w:rFonts w:hint="eastAsia" w:ascii="Times New Roman" w:hAnsi="Times New Roman" w:eastAsia="宋体" w:cs="宋体"/>
                <w:sz w:val="24"/>
                <w:szCs w:val="24"/>
                <w:lang w:val="en-US" w:eastAsia="zh-CN"/>
              </w:rPr>
              <w:t>m</w:t>
            </w:r>
            <w:r>
              <w:rPr>
                <w:rFonts w:hint="eastAsia" w:ascii="Times New Roman" w:hAnsi="Times New Roman" w:eastAsia="宋体" w:cs="宋体"/>
                <w:sz w:val="24"/>
                <w:szCs w:val="24"/>
                <w:vertAlign w:val="superscript"/>
              </w:rPr>
              <w:t>2</w:t>
            </w:r>
          </w:p>
        </w:tc>
        <w:tc>
          <w:tcPr>
            <w:tcW w:w="2175" w:type="dxa"/>
            <w:vAlign w:val="center"/>
          </w:tcPr>
          <w:p>
            <w:pPr>
              <w:jc w:val="center"/>
              <w:rPr>
                <w:rFonts w:ascii="Times New Roman" w:hAnsi="Times New Roman" w:eastAsia="宋体" w:cs="宋体"/>
                <w:sz w:val="24"/>
                <w:szCs w:val="24"/>
              </w:rPr>
            </w:pPr>
            <w:r>
              <w:rPr>
                <w:rFonts w:hint="eastAsia" w:ascii="Times New Roman" w:hAnsi="Times New Roman" w:eastAsia="宋体" w:cs="宋体"/>
                <w:sz w:val="24"/>
                <w:szCs w:val="24"/>
              </w:rPr>
              <w:t>3.0</w:t>
            </w:r>
          </w:p>
        </w:tc>
        <w:tc>
          <w:tcPr>
            <w:tcW w:w="2383" w:type="dxa"/>
            <w:vAlign w:val="center"/>
          </w:tcPr>
          <w:p>
            <w:pPr>
              <w:jc w:val="center"/>
              <w:rPr>
                <w:rFonts w:ascii="Times New Roman" w:hAnsi="Times New Roman" w:eastAsia="宋体" w:cs="宋体"/>
                <w:sz w:val="24"/>
                <w:szCs w:val="24"/>
              </w:rPr>
            </w:pPr>
          </w:p>
        </w:tc>
      </w:tr>
    </w:tbl>
    <w:p>
      <w:pPr>
        <w:spacing w:line="440" w:lineRule="exact"/>
        <w:ind w:firstLine="480" w:firstLineChars="200"/>
        <w:rPr>
          <w:rFonts w:ascii="Times New Roman" w:hAnsi="Times New Roman" w:eastAsia="宋体" w:cs="Times New Roman"/>
          <w:bCs/>
          <w:sz w:val="24"/>
          <w:szCs w:val="24"/>
        </w:rPr>
      </w:pPr>
    </w:p>
    <w:p>
      <w:pPr>
        <w:spacing w:line="44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w:t>
      </w:r>
    </w:p>
    <w:p>
      <w:pPr>
        <w:spacing w:line="44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（法定代表人或被授权人签字）</w:t>
      </w:r>
    </w:p>
    <w:p>
      <w:pPr>
        <w:spacing w:line="440" w:lineRule="exact"/>
        <w:ind w:firstLine="4320" w:firstLineChars="1800"/>
        <w:rPr>
          <w:rFonts w:ascii="Times New Roman" w:hAnsi="Times New Roman" w:eastAsia="宋体" w:cs="Times New Roman"/>
          <w:bCs/>
          <w:sz w:val="24"/>
          <w:szCs w:val="24"/>
        </w:rPr>
      </w:pPr>
    </w:p>
    <w:p>
      <w:pPr>
        <w:spacing w:line="44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w:t>
      </w:r>
    </w:p>
    <w:p>
      <w:pPr>
        <w:spacing w:line="44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（单位盖章）</w:t>
      </w:r>
    </w:p>
    <w:p>
      <w:pPr>
        <w:spacing w:line="440" w:lineRule="exact"/>
        <w:ind w:firstLine="4320" w:firstLineChars="1800"/>
        <w:rPr>
          <w:rFonts w:ascii="Times New Roman" w:hAnsi="Times New Roman" w:eastAsia="宋体" w:cs="Times New Roman"/>
          <w:bCs/>
          <w:sz w:val="24"/>
          <w:szCs w:val="24"/>
        </w:rPr>
      </w:pPr>
    </w:p>
    <w:p>
      <w:pPr>
        <w:spacing w:line="44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lang w:eastAsia="zh-CN"/>
        </w:rPr>
        <w:t>日</w:t>
      </w:r>
      <w:r>
        <w:rPr>
          <w:rFonts w:hint="eastAsia" w:ascii="Times New Roman" w:hAnsi="Times New Roman" w:eastAsia="宋体" w:cs="Times New Roman"/>
          <w:bCs/>
          <w:sz w:val="24"/>
          <w:szCs w:val="24"/>
        </w:rPr>
        <w:t>　</w:t>
      </w:r>
      <w:r>
        <w:rPr>
          <w:rFonts w:hint="eastAsia" w:ascii="Times New Roman" w:hAnsi="Times New Roman" w:eastAsia="宋体" w:cs="Times New Roman"/>
          <w:bCs/>
          <w:sz w:val="24"/>
          <w:szCs w:val="24"/>
          <w:lang w:eastAsia="zh-CN"/>
        </w:rPr>
        <w:t>期</w:t>
      </w:r>
      <w:r>
        <w:rPr>
          <w:rFonts w:hint="eastAsia" w:ascii="Times New Roman" w:hAnsi="Times New Roman" w:eastAsia="宋体" w:cs="Times New Roman"/>
          <w:bCs/>
          <w:sz w:val="24"/>
          <w:szCs w:val="24"/>
        </w:rPr>
        <w:t>：    年    月    日</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5"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2SB289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6435"/>
      </w:tabs>
      <w:kinsoku/>
      <w:wordWrap/>
      <w:overflowPunct/>
      <w:topLinePunct w:val="0"/>
      <w:autoSpaceDE/>
      <w:autoSpaceDN/>
      <w:bidi w:val="0"/>
      <w:adjustRightInd/>
      <w:snapToGrid w:val="0"/>
      <w:spacing w:line="300" w:lineRule="auto"/>
      <w:jc w:val="left"/>
      <w:textAlignment w:val="auto"/>
      <w:outlineLvl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490628"/>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DC0B0B"/>
    <w:rsid w:val="1FF477CC"/>
    <w:rsid w:val="20287CB8"/>
    <w:rsid w:val="22A1546C"/>
    <w:rsid w:val="24C550DC"/>
    <w:rsid w:val="24CA313E"/>
    <w:rsid w:val="26A9561F"/>
    <w:rsid w:val="2ACE7F9E"/>
    <w:rsid w:val="2BC45956"/>
    <w:rsid w:val="2C525A9B"/>
    <w:rsid w:val="2D6E3876"/>
    <w:rsid w:val="2D91433C"/>
    <w:rsid w:val="2EA81856"/>
    <w:rsid w:val="301B3B01"/>
    <w:rsid w:val="315644D0"/>
    <w:rsid w:val="31BD57A7"/>
    <w:rsid w:val="31D65B70"/>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7D7A77"/>
    <w:rsid w:val="47BB01F2"/>
    <w:rsid w:val="47C60904"/>
    <w:rsid w:val="48571F9B"/>
    <w:rsid w:val="485A1FE6"/>
    <w:rsid w:val="494848CE"/>
    <w:rsid w:val="4ACF470A"/>
    <w:rsid w:val="50635474"/>
    <w:rsid w:val="510D00AA"/>
    <w:rsid w:val="55867334"/>
    <w:rsid w:val="574E15B7"/>
    <w:rsid w:val="583C5AC9"/>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2022-11-30T08:41:59Z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