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：生产部、碱回收一厂、碱回收二厂防腐项目</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2.项目内容及要求</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2.1合同包一：生产部防腐项目</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防腐涉及范围：</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（1）北区空压站对面高瓦排汽处至碱二办公楼去连蒸马路，这一段总长178米。这一综合管廊的所有钢构含走台、栏杆均需进行防腐处理。估算防腐面积1200平方米，实际以现场为准。</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（2）北区空压站对面南北联络疏水处至3#碱炉处，这一段总长141米，估算防腐面积约900平方米，现场腐蚀严重的部分管架必须进行加固或补焊，实际以现场为准。</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3）碱一1#炉烟囱至热电厂减压压站，这一段总长约172米，需处理防腐面积约1800平方米（含水管、压缩空气管防腐）。蒸汽管管架加固钢构需角钢（100*100*10）70根（长6米长），圆钢（Φ80）20根（长6米），20#槽钢20根，现场腐蚀严重的部分管架必须进行加固或补焊，实际以现场为准。</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2.2合同包二：碱回收一厂防腐项目</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防腐涉及范围：（防腐面积约14500 m2，实际以现场为准）</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（1）1#碱炉本体及钢构、雨棚、楼梯、走台、备用水箱、检修平台及未进行保温的管道、烟风道等防腐。</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（2）1#碱炉电除尘钢构、雨棚、走台、检修平台等防腐。</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（3）蒸发工段至1#碱炉10米平台的钢构走台。</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（4）1#碱炉湿电钢构、楼梯、走台、检修平台等防腐。</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2.3合同包三：碱回收二厂防腐项目</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防腐涉及范围：</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（一）走台及其栏杆防腐涉及其范围：</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（1）蒸发新表面冷凝器防腐，步梯走台16#槽钢：45m，爬梯整体长：8m。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（2）蒸发一楼至楼顶步梯防腐，16#槽钢：30m，Φ32管：90m，花纹板：1100*220*6*60片。</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（3）蒸发钢结构平台防腐，16#槽钢：240m。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（4）蒸发结晶增浓效防腐，走台及支撑16#槽钢：160m，立柱：Φ328管：40m，Φ220管：40m。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（5）蒸发超浓步梯走台防腐，16#槽钢：100m，12#槽钢：20m，爬梯整体长：10m。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（6）蒸发皂化物收集槽旁管道支撑立柱防腐，12#槽钢：40m。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（7）蒸发皂化物收集槽旁雨棚支撑防腐，Φ89管：65m。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（8）蒸发塔尔油步梯走台防腐，角铁70*200：50m（部分需加固），Φ32管：110m。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（9）苛化白液澄清器防腐，爬梯整长：6m，12#槽钢：8m。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（10）苛化白泥堆场雨棚立柱支撑防腐，工字钢125*250：80m。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（11）苛化白泥预挂机操作平台及其支撑防腐，12#槽钢：100m，Φ32管：200m。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（12）苛化布袋除尘器操作平台及其支撑防腐，16#槽钢：18m，花纹板：6m2。</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（13）苛化室外至臭气步梯走台、平台及其支撑防腐，16#槽钢：16m，12#槽钢：60m。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（14）苛化一楼至操作室步梯防腐，170*10板：20m，Φ32管：40m。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（15）苛化绿泥堆场雨棚立柱支撑防腐，工字钢125*250：40m。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（16）苛化重油槽走台及其支撑防腐，170*10板：40m，Φ32管：40m。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（17）碱炉湿电步梯走台及其支撑防腐，20#槽钢：100n，10#槽钢：180m。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（18）碱炉湿电立柱防腐，Φ220管：50m，Φ175管：65m，工字钢200*200：60m，工字钢250*250：60m。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（19）碱炉引风机和碱灰集中刮板机走台及其支撑防腐，16#槽钢：240m，Φ57管：160m。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（20）碱炉静电除尘室外走台及其支撑防腐，12#槽钢：40m。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21）3#碱炉炉本体支撑钢构及其走台栏杆防腐，Φ32管：1000m，面积约2000m2（具体工程量以现场位准，共13层，单层：工字钢：工字钢600-6-12*240：30m，工字钢800-8-20*300：8m，方钢口150*5：300m，方钢口300*300*10：24m，WE600*400*14：48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（二）走台及其栏杆更换涉及其范围：</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（1）蒸发塔尔油室外操作走台栏杆更换，Φ32管：40m。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（2）苛化白液澄清器步梯更换，12#槽钢：7m，格栅踏步板：600*180*25*16片。</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（3）苛化室外至臭气走台、平台及其支撑更换，12#槽钢：13m，Φ32管：120m。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（4）碱炉标高+4.3m支撑更换，口150*5：13m，12#槽钢：20m。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（5）3#碱炉标高+10m~+46.2m走台栏杆部分更换，Φ32管：500m，扁钢30*3：200m，扁钢100*10：200m。</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（6）碱炉部分格栅板、踏步板更换。</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（7）其余不可预见情况处理。</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预估所需材料，实际以现场为准：</w:t>
      </w:r>
    </w:p>
    <w:tbl>
      <w:tblPr>
        <w:tblStyle w:val="11"/>
        <w:tblW w:w="74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3942"/>
        <w:gridCol w:w="1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jc w:val="center"/>
              <w:rPr>
                <w:rFonts w:ascii="Times New Roman" w:hAnsi="Times New Roman" w:eastAsia="宋体" w:cs="宋体"/>
                <w:b/>
                <w:color w:val="000000"/>
                <w:szCs w:val="21"/>
              </w:rPr>
            </w:pPr>
            <w:r>
              <w:rPr>
                <w:rFonts w:hint="eastAsia" w:ascii="Times New Roman" w:hAnsi="Times New Roman" w:eastAsia="宋体" w:cs="宋体"/>
                <w:b/>
                <w:color w:val="000000"/>
                <w:szCs w:val="21"/>
              </w:rPr>
              <w:t>材料名称</w:t>
            </w:r>
          </w:p>
        </w:tc>
        <w:tc>
          <w:tcPr>
            <w:tcW w:w="3942" w:type="dxa"/>
            <w:vAlign w:val="center"/>
          </w:tcPr>
          <w:p>
            <w:pPr>
              <w:spacing w:line="240" w:lineRule="exact"/>
              <w:jc w:val="center"/>
              <w:rPr>
                <w:rFonts w:ascii="Times New Roman" w:hAnsi="Times New Roman" w:eastAsia="宋体" w:cs="宋体"/>
                <w:b/>
                <w:color w:val="000000"/>
                <w:szCs w:val="21"/>
              </w:rPr>
            </w:pPr>
            <w:r>
              <w:rPr>
                <w:rFonts w:hint="eastAsia" w:ascii="Times New Roman" w:hAnsi="Times New Roman" w:eastAsia="宋体" w:cs="宋体"/>
                <w:b/>
                <w:color w:val="000000"/>
                <w:szCs w:val="21"/>
              </w:rPr>
              <w:t>规　　格</w:t>
            </w:r>
          </w:p>
        </w:tc>
        <w:tc>
          <w:tcPr>
            <w:tcW w:w="1540" w:type="dxa"/>
            <w:vAlign w:val="center"/>
          </w:tcPr>
          <w:p>
            <w:pPr>
              <w:spacing w:line="240" w:lineRule="exact"/>
              <w:jc w:val="center"/>
              <w:rPr>
                <w:rFonts w:ascii="Times New Roman" w:hAnsi="Times New Roman" w:eastAsia="宋体" w:cs="宋体"/>
                <w:b/>
                <w:color w:val="000000"/>
                <w:szCs w:val="21"/>
              </w:rPr>
            </w:pPr>
            <w:r>
              <w:rPr>
                <w:rFonts w:hint="eastAsia" w:ascii="Times New Roman" w:hAnsi="Times New Roman" w:eastAsia="宋体" w:cs="宋体"/>
                <w:b/>
                <w:color w:val="000000"/>
                <w:szCs w:val="21"/>
              </w:rPr>
              <w:t>数　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不锈钢管</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Φ32*2 材质：304</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660m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不锈钢扁钢</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30*3 材质：304</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200m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不锈钢扁钢</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100*3 材质：304</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200m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不锈钢槽钢</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12# 材质：304</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40m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不等边角钢</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160*100*10   材质：304</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20m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热浸锌格栅板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2400*1000* 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6片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热浸锌格栅板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5245*1000*25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3片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热浸锌格栅板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5270*1000*25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6片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热浸锌格栅板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5975*1000*25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2片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热浸锌格栅板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2335*1000*25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3片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热浸锌格栅板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1210*1000*25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3片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方钢管</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□150*5热镀锌</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13m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踏步板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270*1000*25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8片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exact"/>
          <w:jc w:val="center"/>
        </w:trPr>
        <w:tc>
          <w:tcPr>
            <w:tcW w:w="1926"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踏步板</w:t>
            </w:r>
          </w:p>
        </w:tc>
        <w:tc>
          <w:tcPr>
            <w:tcW w:w="3942" w:type="dxa"/>
            <w:vAlign w:val="center"/>
          </w:tcPr>
          <w:p>
            <w:pPr>
              <w:spacing w:line="240" w:lineRule="exact"/>
              <w:rPr>
                <w:rFonts w:ascii="Times New Roman" w:hAnsi="Times New Roman" w:eastAsia="宋体" w:cs="宋体"/>
                <w:color w:val="000000"/>
                <w:szCs w:val="21"/>
              </w:rPr>
            </w:pPr>
            <w:r>
              <w:rPr>
                <w:rFonts w:hint="eastAsia" w:ascii="Times New Roman" w:hAnsi="Times New Roman" w:eastAsia="宋体" w:cs="宋体"/>
                <w:color w:val="000000"/>
                <w:szCs w:val="21"/>
              </w:rPr>
              <w:t>600*180*25</w:t>
            </w:r>
          </w:p>
        </w:tc>
        <w:tc>
          <w:tcPr>
            <w:tcW w:w="1540" w:type="dxa"/>
            <w:vAlign w:val="center"/>
          </w:tcPr>
          <w:p>
            <w:pPr>
              <w:spacing w:line="240" w:lineRule="exact"/>
              <w:jc w:val="center"/>
              <w:rPr>
                <w:rFonts w:ascii="Times New Roman" w:hAnsi="Times New Roman" w:eastAsia="宋体" w:cs="宋体"/>
                <w:color w:val="000000"/>
                <w:szCs w:val="21"/>
              </w:rPr>
            </w:pPr>
            <w:r>
              <w:rPr>
                <w:rFonts w:hint="eastAsia" w:ascii="Times New Roman" w:hAnsi="Times New Roman" w:eastAsia="宋体" w:cs="宋体"/>
                <w:color w:val="000000"/>
                <w:szCs w:val="21"/>
              </w:rPr>
              <w:t>16片</w:t>
            </w:r>
          </w:p>
        </w:tc>
      </w:tr>
    </w:tbl>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2.4对于钢构防腐的要求</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所更换材料有涉及的碳钢（材质为Q235）部分需进行机械除锈并达ST3标准，防腐采用二底二面，底漆选用H53-6环氧云铁防锈漆（双组份）、J53-81氯磺化聚乙烯云铁防锈漆（双组份）各一遍，面漆选用J52-61氯磺化聚乙烯（双组份）二遍。</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w:t>
      </w:r>
      <w:r>
        <w:rPr>
          <w:rFonts w:hint="eastAsia" w:ascii="Times New Roman" w:hAnsi="Times New Roman" w:eastAsia="宋体"/>
          <w:sz w:val="24"/>
          <w:szCs w:val="24"/>
        </w:rPr>
        <w:t>注：评标及授标以合同包为单位，投标人须对合同包中的全部货物与服务进行投标，不得仅对合同包中的部分货物或服务进行投标，否则其投标文件将被拒绝。</w:t>
      </w:r>
      <w:r>
        <w:rPr>
          <w:rFonts w:hint="eastAsia" w:ascii="Times New Roman" w:hAnsi="Times New Roman" w:eastAsia="宋体"/>
          <w:bCs/>
          <w:sz w:val="24"/>
          <w:szCs w:val="24"/>
        </w:rPr>
        <w:t>】</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3.主要技术、质量及过程控制的要求：</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3.1钢构施工按《钢结构工程施工质量验收标准》（GB50205-2020）进行施工。</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3.2高空作业安全技术符合JGJ80-2016《建筑施工高处作业安全技术规范》要求。</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3.3栏杆及平台施工符合GB4053.3-2009《工业防护栏杆及钢平台》规范要求。</w:t>
      </w:r>
    </w:p>
    <w:p>
      <w:pPr>
        <w:spacing w:line="420" w:lineRule="exact"/>
        <w:ind w:firstLine="480" w:firstLineChars="200"/>
        <w:rPr>
          <w:rFonts w:ascii="Times New Roman" w:hAnsi="Times New Roman" w:eastAsia="宋体"/>
          <w:b/>
          <w:sz w:val="24"/>
          <w:szCs w:val="24"/>
        </w:rPr>
      </w:pPr>
      <w:r>
        <w:rPr>
          <w:rFonts w:hint="eastAsia" w:ascii="Times New Roman" w:hAnsi="Times New Roman" w:eastAsia="宋体"/>
          <w:bCs/>
          <w:sz w:val="24"/>
          <w:szCs w:val="24"/>
        </w:rPr>
        <w:t>3.4上道工序完成后，须经所在单位技术人员验收合格后，方可开始下道工序的施工。</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4.工期及地点</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4.1工期：合同签订后60日历天内完成所有工作。</w:t>
      </w:r>
    </w:p>
    <w:p>
      <w:pPr>
        <w:spacing w:line="420" w:lineRule="exact"/>
        <w:ind w:firstLine="480" w:firstLineChars="200"/>
        <w:rPr>
          <w:rFonts w:ascii="Times New Roman" w:hAnsi="Times New Roman" w:eastAsia="宋体"/>
          <w:b/>
          <w:sz w:val="24"/>
          <w:szCs w:val="24"/>
        </w:rPr>
      </w:pPr>
      <w:r>
        <w:rPr>
          <w:rFonts w:hint="eastAsia" w:ascii="Times New Roman" w:hAnsi="Times New Roman" w:eastAsia="宋体"/>
          <w:bCs/>
          <w:sz w:val="24"/>
          <w:szCs w:val="24"/>
        </w:rPr>
        <w:t>4.2地点：福建省三明市沙县区青州镇福建省青山纸业股份有限公司指定区域内。</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5.对投标人资格要求</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5.1投标人应是具有独立法人资格，具有防腐保温工程专业承包二级资质的国内企业。</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5.2投标人应具有安全生产许可证。</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5.3本项目部分为高处作业，投标单位现场操作人员应有特种作业操作证，作业类别为高处作业。（投标文件中应有此证复印件）</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5.4所有有意向参与单位应与青山公司生产部、碱回收一厂、碱回收二厂进行详细技术交流及现场范围的工作量的确认，否则视同放弃投标资格。（以设备部开具的技术交流证明为准，投标文件中需附上此证明）</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bCs/>
          <w:sz w:val="24"/>
          <w:szCs w:val="24"/>
        </w:rPr>
        <w:t>6.双方职责</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6.1</w:t>
      </w:r>
      <w:r>
        <w:rPr>
          <w:rFonts w:ascii="Times New Roman" w:hAnsi="Times New Roman" w:eastAsia="宋体"/>
          <w:sz w:val="24"/>
          <w:szCs w:val="24"/>
        </w:rPr>
        <w:t>招标方负责提供现场照明、水源、施工电源（含费用）。</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6.2</w:t>
      </w:r>
      <w:r>
        <w:rPr>
          <w:rFonts w:ascii="Times New Roman" w:hAnsi="Times New Roman" w:eastAsia="宋体"/>
          <w:sz w:val="24"/>
          <w:szCs w:val="24"/>
        </w:rPr>
        <w:t>中标方施工前须办理开工报告。</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6.3</w:t>
      </w:r>
      <w:r>
        <w:rPr>
          <w:rFonts w:ascii="Times New Roman" w:hAnsi="Times New Roman" w:eastAsia="宋体"/>
          <w:sz w:val="24"/>
          <w:szCs w:val="24"/>
        </w:rPr>
        <w:t>中标方包工包料进行施工。</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6.4</w:t>
      </w:r>
      <w:r>
        <w:rPr>
          <w:rFonts w:ascii="Times New Roman" w:hAnsi="Times New Roman" w:eastAsia="宋体"/>
          <w:sz w:val="24"/>
          <w:szCs w:val="24"/>
        </w:rPr>
        <w:t>中标方自备所有施工工具。</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6.5</w:t>
      </w:r>
      <w:r>
        <w:rPr>
          <w:rFonts w:ascii="Times New Roman" w:hAnsi="Times New Roman" w:eastAsia="宋体"/>
          <w:sz w:val="24"/>
          <w:szCs w:val="24"/>
        </w:rPr>
        <w:t>运输费用、起重作业、脚手架、食宿由中标方负责。</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6.6</w:t>
      </w:r>
      <w:r>
        <w:rPr>
          <w:rFonts w:ascii="Times New Roman" w:hAnsi="Times New Roman" w:eastAsia="宋体"/>
          <w:sz w:val="24"/>
          <w:szCs w:val="24"/>
        </w:rPr>
        <w:t>在施工过程中应采取必要的安全防范措施，确保招标方设备的安全，若中标方原因造成设备的损坏，中标方应负责赔偿损失。中标方安全责任自负，承担由于自身安全措施不力造成安全事故的责任和因此产生的费用。</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6.7</w:t>
      </w:r>
      <w:r>
        <w:rPr>
          <w:rFonts w:ascii="Times New Roman" w:hAnsi="Times New Roman" w:eastAsia="宋体"/>
          <w:sz w:val="24"/>
          <w:szCs w:val="24"/>
        </w:rPr>
        <w:t>中标方在施工过程中废弃的物品应堆放在招标方指定的地点并由招标方负责处理。</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6.8</w:t>
      </w:r>
      <w:r>
        <w:rPr>
          <w:rFonts w:ascii="Times New Roman" w:hAnsi="Times New Roman" w:eastAsia="宋体"/>
          <w:sz w:val="24"/>
          <w:szCs w:val="24"/>
        </w:rPr>
        <w:t>中标方施工垃圾应及时清理干净，保持现场整洁。</w:t>
      </w:r>
    </w:p>
    <w:p>
      <w:pPr>
        <w:spacing w:line="420" w:lineRule="exact"/>
        <w:ind w:firstLine="482" w:firstLineChars="200"/>
        <w:rPr>
          <w:rFonts w:ascii="Times New Roman" w:hAnsi="Times New Roman" w:eastAsia="宋体"/>
          <w:bCs/>
          <w:sz w:val="24"/>
          <w:szCs w:val="24"/>
        </w:rPr>
      </w:pPr>
      <w:r>
        <w:rPr>
          <w:rFonts w:hint="eastAsia" w:ascii="Times New Roman" w:hAnsi="Times New Roman" w:eastAsia="宋体"/>
          <w:b/>
          <w:sz w:val="24"/>
          <w:szCs w:val="24"/>
        </w:rPr>
        <w:t>7.质量保证</w:t>
      </w:r>
      <w:r>
        <w:rPr>
          <w:rFonts w:hint="eastAsia" w:ascii="Times New Roman" w:hAnsi="Times New Roman" w:eastAsia="宋体"/>
          <w:bCs/>
          <w:sz w:val="24"/>
          <w:szCs w:val="24"/>
        </w:rPr>
        <w:t>：质量保证期为工程验收合格后12个月，投标人可承诺更长的质保期。</w:t>
      </w:r>
    </w:p>
    <w:p>
      <w:pPr>
        <w:spacing w:line="420" w:lineRule="exact"/>
        <w:ind w:firstLine="482" w:firstLineChars="200"/>
        <w:rPr>
          <w:rFonts w:ascii="Times New Roman" w:hAnsi="Times New Roman" w:eastAsia="宋体"/>
          <w:b/>
          <w:sz w:val="24"/>
          <w:szCs w:val="24"/>
        </w:rPr>
      </w:pPr>
      <w:r>
        <w:rPr>
          <w:rFonts w:hint="eastAsia" w:ascii="Times New Roman" w:hAnsi="Times New Roman" w:eastAsia="宋体"/>
          <w:b/>
          <w:sz w:val="24"/>
          <w:szCs w:val="24"/>
        </w:rPr>
        <w:t>8.付款方式</w:t>
      </w:r>
    </w:p>
    <w:p>
      <w:pPr>
        <w:spacing w:line="420" w:lineRule="exact"/>
        <w:ind w:firstLine="480" w:firstLineChars="200"/>
        <w:rPr>
          <w:rFonts w:ascii="Times New Roman" w:hAnsi="Times New Roman" w:eastAsia="宋体"/>
          <w:bCs/>
          <w:sz w:val="24"/>
          <w:szCs w:val="24"/>
        </w:rPr>
      </w:pPr>
      <w:r>
        <w:rPr>
          <w:rFonts w:hint="eastAsia" w:ascii="Times New Roman" w:hAnsi="Times New Roman" w:eastAsia="宋体"/>
          <w:bCs/>
          <w:sz w:val="24"/>
          <w:szCs w:val="24"/>
        </w:rPr>
        <w:t>项目验收合格后招标方财务部收到全额发票45天支付工程总合同价的90%（银行承兑汇票），质保金为总合同价的10%，在质保期满后三十天内付清，质保金不计利息。人民币报价和结算，中标人须开具增值税专用发票（税率13%、9%必须在标书中说明）。（本付款方式不得偏离，否则投标将被否决）</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9.报价规定</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9.1</w:t>
      </w:r>
      <w:r>
        <w:rPr>
          <w:rFonts w:ascii="Times New Roman" w:hAnsi="Times New Roman" w:eastAsia="宋体"/>
          <w:sz w:val="24"/>
          <w:szCs w:val="24"/>
        </w:rPr>
        <w:t>本次招标</w:t>
      </w:r>
      <w:r>
        <w:rPr>
          <w:rFonts w:hint="eastAsia" w:ascii="Times New Roman" w:hAnsi="Times New Roman" w:eastAsia="宋体"/>
          <w:sz w:val="24"/>
          <w:szCs w:val="24"/>
        </w:rPr>
        <w:t>原则上</w:t>
      </w:r>
      <w:r>
        <w:rPr>
          <w:rFonts w:ascii="Times New Roman" w:hAnsi="Times New Roman" w:eastAsia="宋体"/>
          <w:sz w:val="24"/>
          <w:szCs w:val="24"/>
        </w:rPr>
        <w:t>采取一次性报价方式</w:t>
      </w:r>
      <w:r>
        <w:rPr>
          <w:rFonts w:hint="eastAsia" w:ascii="Times New Roman" w:hAnsi="Times New Roman" w:eastAsia="宋体"/>
          <w:sz w:val="24"/>
          <w:szCs w:val="24"/>
        </w:rPr>
        <w:t>，投标以合同包为单位。</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9.2报价为含增值税价格，以一票制方式结算。</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10.评标办法</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10.1本项目采用综合评估法评标。三个合同包分别确定中标候选人，每个合同包经综合评审得分排名第一名的投标人确定为中标候选人，中标候选人将在本公司网站上公示三天，无异议后转为中标人。</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10</w:t>
      </w:r>
      <w:r>
        <w:rPr>
          <w:rFonts w:ascii="Times New Roman" w:hAnsi="Times New Roman" w:eastAsia="宋体"/>
          <w:sz w:val="24"/>
          <w:szCs w:val="24"/>
        </w:rPr>
        <w:t>.</w:t>
      </w:r>
      <w:r>
        <w:rPr>
          <w:rFonts w:hint="eastAsia" w:ascii="Times New Roman" w:hAnsi="Times New Roman"/>
          <w:sz w:val="24"/>
          <w:szCs w:val="24"/>
          <w:lang w:val="en-US" w:eastAsia="zh-CN"/>
        </w:rPr>
        <w:t>2</w:t>
      </w:r>
      <w:r>
        <w:rPr>
          <w:rFonts w:ascii="Times New Roman" w:hAnsi="Times New Roman" w:eastAsia="宋体"/>
          <w:sz w:val="24"/>
          <w:szCs w:val="24"/>
        </w:rPr>
        <w:t>评分项目：</w:t>
      </w:r>
      <w:bookmarkStart w:id="0" w:name="_GoBack"/>
      <w:bookmarkEnd w:id="0"/>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序号</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评议内容</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分值</w:t>
            </w:r>
          </w:p>
        </w:tc>
        <w:tc>
          <w:tcPr>
            <w:tcW w:w="5587"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投标评审价</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r>
              <w:rPr>
                <w:rFonts w:ascii="Times New Roman" w:hAnsi="Times New Roman" w:eastAsia="宋体" w:cs="Times New Roman"/>
                <w:kern w:val="0"/>
                <w:szCs w:val="21"/>
              </w:rPr>
              <w:t>0分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当AG＞1.1AD时，F=60-（A-AD）÷（AG-AD）×6</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当AG≤1.1AD时，F=60-（A-AD）÷AD×60</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其中：F为投标评审价分；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 为投标评审价；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AG为最高投标评审价；</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技术评审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①施工方案：20分；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②安全措施：5分；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③防腐材料：5分；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④企业和人员资质：5分；</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⑤不满足施工安全及技术要求的，按废标处理。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业绩及售后服务</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r>
              <w:rPr>
                <w:rFonts w:ascii="Times New Roman" w:hAnsi="Times New Roman" w:eastAsia="宋体" w:cs="Times New Roman"/>
                <w:kern w:val="0"/>
                <w:szCs w:val="21"/>
              </w:rPr>
              <w:t>分</w:t>
            </w:r>
          </w:p>
        </w:tc>
        <w:tc>
          <w:tcPr>
            <w:tcW w:w="5587" w:type="dxa"/>
            <w:shd w:val="clear" w:color="auto" w:fill="FFFFFF"/>
            <w:tcMar>
              <w:top w:w="0" w:type="dxa"/>
              <w:left w:w="108" w:type="dxa"/>
              <w:bottom w:w="0" w:type="dxa"/>
              <w:right w:w="108" w:type="dxa"/>
            </w:tcMar>
            <w:vAlign w:val="center"/>
          </w:tcPr>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①类似业绩：3分，1分/份合同（以合同复印件为准），封顶3分，与招标人的合同提供合同号即可。</w:t>
            </w:r>
          </w:p>
          <w:p>
            <w:pPr>
              <w:widowControl/>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②质保承诺：2分（无质保期的将被否决；1年1分，1年以上每增加六个月得0.5分，最高2分）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41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付款方式</w:t>
            </w:r>
          </w:p>
        </w:tc>
        <w:tc>
          <w:tcPr>
            <w:tcW w:w="708" w:type="dxa"/>
            <w:shd w:val="clear" w:color="auto" w:fill="FFFFFF"/>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宋体" w:hAnsi="宋体" w:eastAsia="宋体" w:cs="宋体"/>
                <w:kern w:val="0"/>
                <w:szCs w:val="21"/>
              </w:rPr>
              <w:t>/</w:t>
            </w:r>
          </w:p>
        </w:tc>
        <w:tc>
          <w:tcPr>
            <w:tcW w:w="5587" w:type="dxa"/>
            <w:shd w:val="clear" w:color="auto" w:fill="FFFFFF"/>
            <w:tcMar>
              <w:top w:w="0" w:type="dxa"/>
              <w:left w:w="108" w:type="dxa"/>
              <w:bottom w:w="0" w:type="dxa"/>
              <w:right w:w="108" w:type="dxa"/>
            </w:tcMar>
            <w:vAlign w:val="center"/>
          </w:tcPr>
          <w:p>
            <w:pPr>
              <w:widowControl/>
              <w:rPr>
                <w:rFonts w:ascii="Times New Roman" w:hAnsi="Times New Roman" w:eastAsia="宋体" w:cs="Times New Roman"/>
                <w:bCs/>
                <w:kern w:val="0"/>
                <w:szCs w:val="21"/>
              </w:rPr>
            </w:pPr>
            <w:r>
              <w:rPr>
                <w:rFonts w:hint="eastAsia" w:ascii="Times New Roman" w:hAnsi="Times New Roman" w:eastAsia="宋体" w:cs="Times New Roman"/>
                <w:bCs/>
                <w:kern w:val="0"/>
                <w:szCs w:val="21"/>
              </w:rPr>
              <w:t>付款方式不得偏离，否则投标将被否决。</w:t>
            </w:r>
          </w:p>
        </w:tc>
      </w:tr>
    </w:tbl>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sz w:val="24"/>
          <w:szCs w:val="24"/>
        </w:rPr>
        <w:t>0分）其它评分方法不变，直至产生唯一最高分。</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11.开标时间、地点及参与方式</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.1开标时间、地点：20</w:t>
      </w:r>
      <w:r>
        <w:rPr>
          <w:rFonts w:hint="eastAsia" w:ascii="Times New Roman" w:hAnsi="Times New Roman" w:eastAsia="宋体"/>
          <w:sz w:val="24"/>
          <w:szCs w:val="24"/>
        </w:rPr>
        <w:t>22</w:t>
      </w:r>
      <w:r>
        <w:rPr>
          <w:rFonts w:ascii="Times New Roman" w:hAnsi="Times New Roman" w:eastAsia="宋体"/>
          <w:sz w:val="24"/>
          <w:szCs w:val="24"/>
        </w:rPr>
        <w:t>年</w:t>
      </w:r>
      <w:r>
        <w:rPr>
          <w:rFonts w:hint="eastAsia" w:ascii="Times New Roman" w:hAnsi="Times New Roman" w:eastAsia="宋体"/>
          <w:sz w:val="24"/>
          <w:szCs w:val="24"/>
        </w:rPr>
        <w:t>11</w:t>
      </w:r>
      <w:r>
        <w:rPr>
          <w:rFonts w:ascii="Times New Roman" w:hAnsi="Times New Roman" w:eastAsia="宋体"/>
          <w:sz w:val="24"/>
          <w:szCs w:val="24"/>
        </w:rPr>
        <w:t>月</w:t>
      </w:r>
      <w:r>
        <w:rPr>
          <w:rFonts w:hint="eastAsia" w:ascii="Times New Roman" w:hAnsi="Times New Roman" w:eastAsia="宋体"/>
          <w:sz w:val="24"/>
          <w:szCs w:val="24"/>
        </w:rPr>
        <w:t>18</w:t>
      </w:r>
      <w:r>
        <w:rPr>
          <w:rFonts w:ascii="Times New Roman" w:hAnsi="Times New Roman" w:eastAsia="宋体"/>
          <w:sz w:val="24"/>
          <w:szCs w:val="24"/>
        </w:rPr>
        <w:t>日</w:t>
      </w:r>
      <w:r>
        <w:rPr>
          <w:rFonts w:hint="eastAsia" w:ascii="Times New Roman" w:hAnsi="Times New Roman" w:eastAsia="宋体"/>
          <w:sz w:val="24"/>
          <w:szCs w:val="24"/>
        </w:rPr>
        <w:t>10:30</w:t>
      </w:r>
      <w:r>
        <w:rPr>
          <w:rFonts w:ascii="Times New Roman" w:hAnsi="Times New Roman" w:eastAsia="宋体"/>
          <w:sz w:val="24"/>
          <w:szCs w:val="24"/>
        </w:rPr>
        <w:t>时（北京时间）在青山纸业文化楼4楼招标办会议室公开开标。</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w:t>
      </w:r>
      <w:r>
        <w:rPr>
          <w:rFonts w:hint="eastAsia" w:ascii="Times New Roman" w:hAnsi="Times New Roman" w:eastAsia="宋体"/>
          <w:sz w:val="24"/>
          <w:szCs w:val="24"/>
        </w:rPr>
        <w:t>1</w:t>
      </w:r>
      <w:r>
        <w:rPr>
          <w:rFonts w:ascii="Times New Roman" w:hAnsi="Times New Roman" w:eastAsia="宋体"/>
          <w:sz w:val="24"/>
          <w:szCs w:val="24"/>
        </w:rPr>
        <w:t>现场：</w:t>
      </w:r>
      <w:r>
        <w:rPr>
          <w:rFonts w:hint="eastAsia" w:ascii="Times New Roman" w:hAnsi="Times New Roman" w:eastAsia="宋体"/>
          <w:sz w:val="24"/>
          <w:szCs w:val="24"/>
        </w:rPr>
        <w:t>参与现场投标的，投标人应于开标之前将投标文件送至青山纸业文化楼4楼招标办会议室。到会议现场参加开标的投标人代表，须遵守沙县政府和本公司关于新冠肺炎疫情防控的相关规定，并出示绿色健康码、行程卡、48h内核酸检测阴性证明。</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w:t>
      </w:r>
      <w:r>
        <w:rPr>
          <w:rFonts w:ascii="Times New Roman" w:hAnsi="Times New Roman" w:eastAsia="宋体"/>
          <w:sz w:val="24"/>
          <w:szCs w:val="24"/>
        </w:rPr>
        <w:t>.2.2邮寄：以邮寄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投标文件应于开标之前寄达，</w:t>
      </w:r>
      <w:r>
        <w:rPr>
          <w:rFonts w:ascii="Times New Roman" w:hAnsi="Times New Roman" w:eastAsia="宋体"/>
          <w:sz w:val="24"/>
          <w:szCs w:val="24"/>
        </w:rPr>
        <w:t>快递单上须注明投标单位名称和参与的招标编号，建议选用邮政EMS或顺丰快递，开标之前为确保寄达，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11.2.3网络：在阿里平台1688采购门户网址</w:t>
      </w:r>
      <w:r>
        <w:fldChar w:fldCharType="begin"/>
      </w:r>
      <w:r>
        <w:instrText xml:space="preserve"> HYPERLINK "https://fjqszy.go.1688.com" </w:instrText>
      </w:r>
      <w:r>
        <w:fldChar w:fldCharType="separate"/>
      </w:r>
      <w:r>
        <w:rPr>
          <w:rStyle w:val="10"/>
          <w:rFonts w:hint="eastAsia" w:ascii="Times New Roman" w:hAnsi="Times New Roman" w:eastAsia="宋体"/>
          <w:sz w:val="24"/>
          <w:szCs w:val="24"/>
        </w:rPr>
        <w:t>https://fjqszy.go.1688.com</w:t>
      </w:r>
      <w:r>
        <w:rPr>
          <w:rStyle w:val="10"/>
          <w:rFonts w:hint="eastAsia" w:ascii="Times New Roman" w:hAnsi="Times New Roman" w:eastAsia="宋体"/>
          <w:sz w:val="24"/>
          <w:szCs w:val="24"/>
        </w:rPr>
        <w:fldChar w:fldCharType="end"/>
      </w:r>
      <w:r>
        <w:rPr>
          <w:rFonts w:hint="eastAsia" w:ascii="Times New Roman" w:hAnsi="Times New Roman" w:eastAsia="宋体"/>
          <w:sz w:val="24"/>
          <w:szCs w:val="24"/>
        </w:rPr>
        <w:t>上参与投标的，应按招标文件的要求制作投标文件后扫描上传至1688采购平台，投标保证金凭证、资格文件、技术文件、商务文件分别扫描上传。</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12.投标及履约保证金</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rPr>
        <w:t>：合同包一需缴交</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万元，合同包二需缴交1万元，合同包三需缴交1万元。</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.2投标保证金任选如下一种形式提交：</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rPr>
        <w:t>公对公转账，</w:t>
      </w:r>
      <w:r>
        <w:rPr>
          <w:rFonts w:ascii="Times New Roman" w:hAnsi="Times New Roman" w:eastAsia="宋体"/>
          <w:sz w:val="24"/>
          <w:szCs w:val="24"/>
        </w:rPr>
        <w:t>汇款人须注明</w:t>
      </w:r>
      <w:r>
        <w:rPr>
          <w:rFonts w:hint="eastAsia" w:ascii="Times New Roman" w:hAnsi="Times New Roman" w:eastAsia="宋体"/>
          <w:sz w:val="24"/>
          <w:szCs w:val="24"/>
        </w:rPr>
        <w:t>参与的招标编号</w:t>
      </w:r>
      <w:r>
        <w:rPr>
          <w:rFonts w:ascii="Times New Roman" w:hAnsi="Times New Roman" w:eastAsia="宋体"/>
          <w:sz w:val="24"/>
          <w:szCs w:val="24"/>
        </w:rPr>
        <w:t>）。银行电汇回单单独密封装订。</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rPr>
        <w:t>到期应付</w:t>
      </w:r>
      <w:r>
        <w:rPr>
          <w:rFonts w:ascii="Times New Roman" w:hAnsi="Times New Roman" w:eastAsia="宋体"/>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在开标前得到本公司财务的确认。投标保证金函单独密封装订。</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.3对于未能按规定提交投标保证金的投标，将被视为不响应招标文件而予以拒绝。</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.4未中标的投标人的投标保证金，以电汇形式的将在一星期内退还；以未结货款转抵形式的将转回未结货款并按正常渠道结算。</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.5中标的投标人的投标保证金，将在中标人签订合同时转为履约保证金，合同按时履行完毕后予以原额退还，以未结货款转抵形式的将转回未结货款并按正常渠道结算。</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.6如投标人有下列情况发生时，其</w:t>
      </w:r>
      <w:r>
        <w:rPr>
          <w:rFonts w:ascii="Times New Roman" w:hAnsi="Times New Roman" w:eastAsia="宋体"/>
          <w:b/>
          <w:bCs/>
          <w:sz w:val="24"/>
          <w:szCs w:val="24"/>
        </w:rPr>
        <w:t>投标保证金将被不予退还</w:t>
      </w:r>
      <w:r>
        <w:rPr>
          <w:rFonts w:ascii="Times New Roman" w:hAnsi="Times New Roman" w:eastAsia="宋体"/>
          <w:sz w:val="24"/>
          <w:szCs w:val="24"/>
        </w:rPr>
        <w:t>：</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.6.1投标人在投标有效期内撤回投标的；</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12</w:t>
      </w:r>
      <w:r>
        <w:rPr>
          <w:rFonts w:ascii="Times New Roman" w:hAnsi="Times New Roman" w:eastAsia="宋体"/>
          <w:sz w:val="24"/>
          <w:szCs w:val="24"/>
        </w:rPr>
        <w:t>.6.2成为中标人后</w:t>
      </w:r>
      <w:r>
        <w:rPr>
          <w:rFonts w:hint="eastAsia" w:ascii="Times New Roman" w:hAnsi="Times New Roman" w:eastAsia="宋体"/>
          <w:sz w:val="24"/>
          <w:szCs w:val="24"/>
        </w:rPr>
        <w:t>5日</w:t>
      </w:r>
      <w:r>
        <w:rPr>
          <w:rFonts w:ascii="Times New Roman" w:hAnsi="Times New Roman" w:eastAsia="宋体"/>
          <w:sz w:val="24"/>
          <w:szCs w:val="24"/>
        </w:rPr>
        <w:t>内，因中标方原因无法签订合同的；</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2</w:t>
      </w:r>
      <w:r>
        <w:rPr>
          <w:rFonts w:ascii="Times New Roman" w:hAnsi="Times New Roman" w:eastAsia="宋体"/>
          <w:sz w:val="24"/>
          <w:szCs w:val="24"/>
        </w:rPr>
        <w:t>.6.4其他违反法律规定的。</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13.投标文件要求</w:t>
      </w:r>
      <w:r>
        <w:rPr>
          <w:rFonts w:hint="eastAsia" w:ascii="Times New Roman" w:hAnsi="Times New Roman" w:eastAsia="宋体"/>
          <w:sz w:val="24"/>
          <w:szCs w:val="24"/>
        </w:rPr>
        <w:t>：（内容均须加盖公章）</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rPr>
        <w:t>四</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rPr>
        <w:t>投标保证金凭证，第二部分为</w:t>
      </w:r>
      <w:r>
        <w:rPr>
          <w:rFonts w:ascii="Times New Roman" w:hAnsi="Times New Roman" w:eastAsia="宋体"/>
          <w:sz w:val="24"/>
          <w:szCs w:val="24"/>
        </w:rPr>
        <w:t>资格文件，第</w:t>
      </w:r>
      <w:r>
        <w:rPr>
          <w:rFonts w:hint="eastAsia" w:ascii="Times New Roman" w:hAnsi="Times New Roman" w:eastAsia="宋体"/>
          <w:sz w:val="24"/>
          <w:szCs w:val="24"/>
        </w:rPr>
        <w:t>三</w:t>
      </w:r>
      <w:r>
        <w:rPr>
          <w:rFonts w:ascii="Times New Roman" w:hAnsi="Times New Roman" w:eastAsia="宋体"/>
          <w:sz w:val="24"/>
          <w:szCs w:val="24"/>
        </w:rPr>
        <w:t>部分</w:t>
      </w:r>
      <w:r>
        <w:rPr>
          <w:rFonts w:hint="eastAsia" w:ascii="Times New Roman" w:hAnsi="Times New Roman" w:eastAsia="宋体"/>
          <w:sz w:val="24"/>
          <w:szCs w:val="24"/>
        </w:rPr>
        <w:t>为</w:t>
      </w:r>
      <w:r>
        <w:rPr>
          <w:rFonts w:ascii="Times New Roman" w:hAnsi="Times New Roman" w:eastAsia="宋体"/>
          <w:sz w:val="24"/>
          <w:szCs w:val="24"/>
        </w:rPr>
        <w:t>技术文件，第</w:t>
      </w:r>
      <w:r>
        <w:rPr>
          <w:rFonts w:hint="eastAsia" w:ascii="Times New Roman" w:hAnsi="Times New Roman" w:eastAsia="宋体"/>
          <w:sz w:val="24"/>
          <w:szCs w:val="24"/>
        </w:rPr>
        <w:t>四</w:t>
      </w:r>
      <w:r>
        <w:rPr>
          <w:rFonts w:ascii="Times New Roman" w:hAnsi="Times New Roman" w:eastAsia="宋体"/>
          <w:sz w:val="24"/>
          <w:szCs w:val="24"/>
        </w:rPr>
        <w:t>部分为商务文件。</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13.1.1投标保证金凭证：银行电汇回单或投标保证金函。</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13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资料，包括</w:t>
      </w:r>
      <w:r>
        <w:rPr>
          <w:rFonts w:hint="eastAsia" w:ascii="Times New Roman" w:hAnsi="Times New Roman" w:eastAsia="宋体"/>
          <w:sz w:val="24"/>
          <w:szCs w:val="24"/>
        </w:rPr>
        <w:t>：</w:t>
      </w:r>
      <w:r>
        <w:rPr>
          <w:rFonts w:ascii="Times New Roman" w:hAnsi="Times New Roman" w:eastAsia="宋体"/>
          <w:sz w:val="24"/>
          <w:szCs w:val="24"/>
        </w:rPr>
        <w:t>a.三证合一的《营业执照》；</w:t>
      </w:r>
      <w:r>
        <w:rPr>
          <w:rFonts w:hint="eastAsia" w:ascii="Times New Roman" w:hAnsi="Times New Roman" w:eastAsia="宋体"/>
          <w:sz w:val="24"/>
          <w:szCs w:val="24"/>
        </w:rPr>
        <w:t>b.第5条“对投标人资格要求”的其他证明材料；c.</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（授权书格式见附件1）</w:t>
      </w:r>
      <w:r>
        <w:rPr>
          <w:rFonts w:ascii="Times New Roman" w:hAnsi="Times New Roman" w:eastAsia="宋体"/>
          <w:sz w:val="24"/>
          <w:szCs w:val="24"/>
        </w:rPr>
        <w:t>；</w:t>
      </w:r>
      <w:r>
        <w:rPr>
          <w:rFonts w:hint="eastAsia" w:ascii="Times New Roman" w:hAnsi="Times New Roman" w:eastAsia="宋体"/>
          <w:sz w:val="24"/>
          <w:szCs w:val="24"/>
        </w:rPr>
        <w:t>d</w:t>
      </w:r>
      <w:r>
        <w:rPr>
          <w:rFonts w:ascii="Times New Roman" w:hAnsi="Times New Roman" w:eastAsia="宋体"/>
          <w:sz w:val="24"/>
          <w:szCs w:val="24"/>
        </w:rPr>
        <w:t>.</w:t>
      </w:r>
      <w:r>
        <w:rPr>
          <w:rFonts w:hint="eastAsia" w:ascii="Times New Roman" w:hAnsi="Times New Roman" w:eastAsia="宋体"/>
          <w:sz w:val="24"/>
          <w:szCs w:val="24"/>
        </w:rPr>
        <w:t>招标文件要求提供的和投标人认为需要提供</w:t>
      </w:r>
      <w:r>
        <w:rPr>
          <w:rFonts w:ascii="Times New Roman" w:hAnsi="Times New Roman" w:eastAsia="宋体"/>
          <w:sz w:val="24"/>
          <w:szCs w:val="24"/>
        </w:rPr>
        <w:t>的其他资料</w:t>
      </w:r>
      <w:r>
        <w:rPr>
          <w:rFonts w:hint="eastAsia" w:ascii="Times New Roman" w:hAnsi="Times New Roman" w:eastAsia="宋体"/>
          <w:sz w:val="24"/>
          <w:szCs w:val="24"/>
        </w:rPr>
        <w:t>（公司简介和信用证书等）</w:t>
      </w:r>
      <w:r>
        <w:rPr>
          <w:rFonts w:ascii="Times New Roman" w:hAnsi="Times New Roman" w:eastAsia="宋体"/>
          <w:sz w:val="24"/>
          <w:szCs w:val="24"/>
        </w:rPr>
        <w:t>，等等。（已评价为20</w:t>
      </w:r>
      <w:r>
        <w:rPr>
          <w:rFonts w:hint="eastAsia" w:ascii="Times New Roman" w:hAnsi="Times New Roman" w:eastAsia="宋体"/>
          <w:sz w:val="24"/>
          <w:szCs w:val="24"/>
        </w:rPr>
        <w:t>21</w:t>
      </w:r>
      <w:r>
        <w:rPr>
          <w:rFonts w:ascii="Times New Roman" w:hAnsi="Times New Roman" w:eastAsia="宋体"/>
          <w:sz w:val="24"/>
          <w:szCs w:val="24"/>
        </w:rPr>
        <w:t>年度合格供应商可免于提交a项资格文件）</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3技术文件编制一式二份，包括</w:t>
      </w:r>
      <w:r>
        <w:rPr>
          <w:rFonts w:hint="eastAsia" w:ascii="Times New Roman" w:hAnsi="Times New Roman" w:eastAsia="宋体"/>
          <w:sz w:val="24"/>
          <w:szCs w:val="24"/>
        </w:rPr>
        <w:t>：a.技术方案；b.技术评审各评分项所对应的其他响应材料；c.工期、</w:t>
      </w:r>
      <w:r>
        <w:rPr>
          <w:rFonts w:ascii="Times New Roman" w:hAnsi="Times New Roman" w:eastAsia="宋体"/>
          <w:sz w:val="24"/>
          <w:szCs w:val="24"/>
        </w:rPr>
        <w:t>质量承诺</w:t>
      </w:r>
      <w:r>
        <w:rPr>
          <w:rFonts w:hint="eastAsia" w:ascii="Times New Roman" w:hAnsi="Times New Roman" w:eastAsia="宋体"/>
          <w:sz w:val="24"/>
          <w:szCs w:val="24"/>
        </w:rPr>
        <w:t>、质保承诺；d.类似</w:t>
      </w:r>
      <w:r>
        <w:rPr>
          <w:rFonts w:ascii="Times New Roman" w:hAnsi="Times New Roman" w:eastAsia="宋体"/>
          <w:sz w:val="24"/>
          <w:szCs w:val="24"/>
        </w:rPr>
        <w:t>业绩合同复印件</w:t>
      </w:r>
      <w:r>
        <w:rPr>
          <w:rFonts w:hint="eastAsia" w:ascii="Times New Roman" w:hAnsi="Times New Roman" w:eastAsia="宋体"/>
          <w:sz w:val="24"/>
          <w:szCs w:val="24"/>
        </w:rPr>
        <w:t>；e.</w:t>
      </w:r>
      <w:r>
        <w:rPr>
          <w:rFonts w:ascii="Times New Roman" w:hAnsi="Times New Roman" w:eastAsia="宋体"/>
          <w:sz w:val="24"/>
          <w:szCs w:val="24"/>
        </w:rPr>
        <w:t>技术偏离表</w:t>
      </w:r>
      <w:r>
        <w:rPr>
          <w:rFonts w:hint="eastAsia" w:ascii="Times New Roman" w:hAnsi="Times New Roman" w:eastAsia="宋体"/>
          <w:sz w:val="24"/>
          <w:szCs w:val="24"/>
        </w:rPr>
        <w:t>；f.招标</w:t>
      </w:r>
      <w:r>
        <w:rPr>
          <w:rFonts w:ascii="Times New Roman" w:hAnsi="Times New Roman" w:eastAsia="宋体"/>
          <w:sz w:val="24"/>
          <w:szCs w:val="24"/>
        </w:rPr>
        <w:t>文件要求提供的其它技术方面的文件，等等。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1.</w:t>
      </w:r>
      <w:r>
        <w:rPr>
          <w:rFonts w:ascii="Times New Roman" w:hAnsi="Times New Roman" w:eastAsia="宋体"/>
          <w:sz w:val="24"/>
          <w:szCs w:val="24"/>
        </w:rPr>
        <w:t>4商务文件编制一式一份，包括</w:t>
      </w:r>
      <w:r>
        <w:rPr>
          <w:rFonts w:hint="eastAsia" w:ascii="Times New Roman" w:hAnsi="Times New Roman" w:eastAsia="宋体"/>
          <w:sz w:val="24"/>
          <w:szCs w:val="24"/>
        </w:rPr>
        <w:t>：a.投标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（必须由法定代表人或被授权人签字或盖章）；b.</w:t>
      </w:r>
      <w:r>
        <w:rPr>
          <w:rFonts w:ascii="Times New Roman" w:hAnsi="Times New Roman" w:eastAsia="宋体"/>
          <w:sz w:val="24"/>
          <w:szCs w:val="24"/>
        </w:rPr>
        <w:t>商务偏离表（如付款方式等，未说明即默认响应本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spacing w:line="420" w:lineRule="exact"/>
        <w:ind w:firstLine="480" w:firstLineChars="200"/>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rPr>
        <w:t>3</w:t>
      </w:r>
      <w:r>
        <w:rPr>
          <w:rFonts w:ascii="Times New Roman" w:hAnsi="Times New Roman" w:eastAsia="宋体"/>
          <w:sz w:val="24"/>
          <w:szCs w:val="24"/>
        </w:rPr>
        <w:t>.</w:t>
      </w:r>
      <w:r>
        <w:rPr>
          <w:rFonts w:hint="eastAsia" w:ascii="Times New Roman" w:hAnsi="Times New Roman" w:eastAsia="宋体"/>
          <w:sz w:val="24"/>
          <w:szCs w:val="24"/>
        </w:rPr>
        <w:t>2</w:t>
      </w:r>
      <w:r>
        <w:rPr>
          <w:rFonts w:ascii="Times New Roman" w:hAnsi="Times New Roman" w:eastAsia="宋体"/>
          <w:sz w:val="24"/>
          <w:szCs w:val="24"/>
        </w:rPr>
        <w:t>除</w:t>
      </w:r>
      <w:r>
        <w:rPr>
          <w:rFonts w:hint="eastAsia" w:ascii="Times New Roman" w:hAnsi="Times New Roman" w:eastAsia="宋体"/>
          <w:sz w:val="24"/>
          <w:szCs w:val="24"/>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spacing w:line="420" w:lineRule="exact"/>
        <w:ind w:firstLine="482" w:firstLineChars="200"/>
        <w:rPr>
          <w:rFonts w:ascii="Times New Roman" w:hAnsi="Times New Roman" w:eastAsia="宋体"/>
          <w:sz w:val="24"/>
          <w:szCs w:val="24"/>
        </w:rPr>
      </w:pPr>
      <w:r>
        <w:rPr>
          <w:rFonts w:hint="eastAsia" w:ascii="Times New Roman" w:hAnsi="Times New Roman" w:eastAsia="宋体"/>
          <w:b/>
          <w:sz w:val="24"/>
          <w:szCs w:val="24"/>
        </w:rPr>
        <w:t>14.评标小组</w:t>
      </w:r>
      <w:r>
        <w:rPr>
          <w:rFonts w:hint="eastAsia" w:ascii="Times New Roman" w:hAnsi="Times New Roman" w:eastAsia="宋体"/>
          <w:sz w:val="24"/>
          <w:szCs w:val="24"/>
        </w:rPr>
        <w:t>：评标小组由福建省青山纸业股份有限公司有关部门人员组成。</w:t>
      </w:r>
    </w:p>
    <w:p>
      <w:pPr>
        <w:spacing w:line="420" w:lineRule="exact"/>
        <w:ind w:firstLine="482" w:firstLineChars="200"/>
        <w:rPr>
          <w:rFonts w:ascii="Times New Roman" w:hAnsi="Times New Roman" w:eastAsia="宋体" w:cs="Times New Roman"/>
          <w:sz w:val="24"/>
          <w:szCs w:val="24"/>
          <w:shd w:val="clear" w:color="auto" w:fill="FFFFFF"/>
        </w:rPr>
      </w:pPr>
      <w:r>
        <w:rPr>
          <w:rFonts w:hint="eastAsia" w:ascii="Times New Roman" w:hAnsi="Times New Roman" w:eastAsia="宋体"/>
          <w:b/>
          <w:sz w:val="24"/>
          <w:szCs w:val="24"/>
        </w:rPr>
        <w:t>15.发布招标公告及结果公示媒体</w:t>
      </w:r>
      <w:r>
        <w:rPr>
          <w:rFonts w:hint="eastAsia" w:ascii="Times New Roman" w:hAnsi="Times New Roman" w:eastAsia="宋体"/>
          <w:sz w:val="24"/>
          <w:szCs w:val="24"/>
        </w:rPr>
        <w:t>：</w:t>
      </w:r>
      <w:r>
        <w:rPr>
          <w:rFonts w:ascii="Times New Roman" w:hAnsi="Times New Roman" w:eastAsia="宋体" w:cs="Times New Roman"/>
          <w:sz w:val="24"/>
          <w:szCs w:val="24"/>
          <w:shd w:val="clear" w:color="auto" w:fill="FFFFFF"/>
        </w:rPr>
        <w:t>福建省青山纸业股份有限公司</w:t>
      </w:r>
      <w:r>
        <w:fldChar w:fldCharType="begin"/>
      </w:r>
      <w:r>
        <w:instrText xml:space="preserve"> HYPERLINK "http://www.qingshanpaper.com/" </w:instrText>
      </w:r>
      <w:r>
        <w:fldChar w:fldCharType="separate"/>
      </w:r>
      <w:r>
        <w:rPr>
          <w:rStyle w:val="10"/>
          <w:rFonts w:ascii="Times New Roman" w:hAnsi="Times New Roman" w:eastAsia="宋体" w:cs="Times New Roman"/>
          <w:sz w:val="24"/>
          <w:szCs w:val="24"/>
          <w:shd w:val="clear" w:color="auto" w:fill="FFFFFF"/>
        </w:rPr>
        <w:t>www.qingshanpaper.com</w:t>
      </w:r>
      <w:r>
        <w:rPr>
          <w:rStyle w:val="10"/>
          <w:rFonts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、福建省轻纺(控股)有限责任公司</w:t>
      </w:r>
      <w:r>
        <w:fldChar w:fldCharType="begin"/>
      </w:r>
      <w:r>
        <w:instrText xml:space="preserve"> HYPERLINK "http://www.fjqfkg.com" </w:instrText>
      </w:r>
      <w:r>
        <w:fldChar w:fldCharType="separate"/>
      </w:r>
      <w:r>
        <w:rPr>
          <w:rStyle w:val="10"/>
          <w:rFonts w:hint="eastAsia" w:ascii="Times New Roman" w:hAnsi="Times New Roman" w:eastAsia="宋体" w:cs="Times New Roman"/>
          <w:sz w:val="24"/>
          <w:szCs w:val="24"/>
          <w:shd w:val="clear" w:color="auto" w:fill="FFFFFF"/>
        </w:rPr>
        <w:t>www.fjqfkg.com</w:t>
      </w:r>
      <w:r>
        <w:rPr>
          <w:rStyle w:val="10"/>
          <w:rFonts w:hint="eastAsia" w:ascii="Times New Roman" w:hAnsi="Times New Roman" w:eastAsia="宋体" w:cs="Times New Roman"/>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rPr>
        <w:t>、</w:t>
      </w:r>
      <w:r>
        <w:rPr>
          <w:rFonts w:hint="eastAsia" w:ascii="Times New Roman" w:hAnsi="Times New Roman" w:eastAsia="宋体"/>
          <w:sz w:val="24"/>
          <w:szCs w:val="24"/>
        </w:rPr>
        <w:t>1688采购门户</w:t>
      </w:r>
      <w:r>
        <w:fldChar w:fldCharType="begin"/>
      </w:r>
      <w:r>
        <w:instrText xml:space="preserve"> HYPERLINK "https://fjqszy.go.1688.com" </w:instrText>
      </w:r>
      <w:r>
        <w:fldChar w:fldCharType="separate"/>
      </w:r>
      <w:r>
        <w:rPr>
          <w:rStyle w:val="10"/>
          <w:rFonts w:hint="eastAsia" w:ascii="Times New Roman" w:hAnsi="Times New Roman" w:eastAsia="宋体"/>
          <w:sz w:val="24"/>
          <w:szCs w:val="24"/>
        </w:rPr>
        <w:t>https://fjqszy.go.1688.com</w:t>
      </w:r>
      <w:r>
        <w:rPr>
          <w:rStyle w:val="10"/>
          <w:rFonts w:hint="eastAsia" w:ascii="Times New Roman" w:hAnsi="Times New Roman" w:eastAsia="宋体"/>
          <w:sz w:val="24"/>
          <w:szCs w:val="24"/>
        </w:rPr>
        <w:fldChar w:fldCharType="end"/>
      </w:r>
      <w:r>
        <w:rPr>
          <w:rFonts w:ascii="Times New Roman" w:hAnsi="Times New Roman" w:eastAsia="宋体" w:cs="Times New Roman"/>
          <w:sz w:val="24"/>
          <w:szCs w:val="24"/>
          <w:shd w:val="clear" w:color="auto" w:fill="FFFFFF"/>
        </w:rPr>
        <w:t>。</w:t>
      </w:r>
    </w:p>
    <w:p>
      <w:pPr>
        <w:spacing w:line="420" w:lineRule="exact"/>
        <w:ind w:firstLine="482" w:firstLineChars="200"/>
        <w:rPr>
          <w:rFonts w:ascii="Times New Roman" w:hAnsi="Times New Roman" w:eastAsia="宋体"/>
          <w:b/>
          <w:bCs/>
          <w:sz w:val="24"/>
          <w:szCs w:val="24"/>
        </w:rPr>
      </w:pPr>
      <w:r>
        <w:rPr>
          <w:rFonts w:hint="eastAsia" w:ascii="Times New Roman" w:hAnsi="Times New Roman" w:eastAsia="宋体"/>
          <w:b/>
          <w:bCs/>
          <w:sz w:val="24"/>
          <w:szCs w:val="24"/>
        </w:rPr>
        <w:t>16.联系方式</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招标办公室：刘玲0598-5658595</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商务联系人：陈初发0598-5658513（设备部）</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技术联系人：黄志强15259814307（生产部）、</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　　　　　　谢利斌13859136858（碱一）、</w:t>
      </w: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　　　　　　陈家和13507581608（碱二）。</w:t>
      </w:r>
    </w:p>
    <w:p>
      <w:pPr>
        <w:spacing w:line="420" w:lineRule="exact"/>
        <w:ind w:firstLine="480" w:firstLineChars="200"/>
        <w:rPr>
          <w:rFonts w:ascii="Times New Roman" w:hAnsi="Times New Roman" w:eastAsia="宋体"/>
          <w:sz w:val="24"/>
          <w:szCs w:val="24"/>
        </w:rPr>
      </w:pPr>
    </w:p>
    <w:p>
      <w:pPr>
        <w:spacing w:line="420" w:lineRule="exact"/>
        <w:ind w:firstLine="480" w:firstLineChars="200"/>
        <w:rPr>
          <w:rFonts w:ascii="Times New Roman" w:hAnsi="Times New Roman" w:eastAsia="宋体"/>
          <w:sz w:val="24"/>
          <w:szCs w:val="24"/>
        </w:rPr>
      </w:pPr>
      <w:r>
        <w:rPr>
          <w:rFonts w:hint="eastAsia" w:ascii="Times New Roman" w:hAnsi="Times New Roman" w:eastAsia="宋体"/>
          <w:sz w:val="24"/>
          <w:szCs w:val="24"/>
        </w:rPr>
        <w:t>附件1：法定代表人授权书（格式）</w:t>
      </w:r>
    </w:p>
    <w:p>
      <w:pPr>
        <w:spacing w:line="420" w:lineRule="exact"/>
        <w:ind w:firstLine="480" w:firstLineChars="200"/>
        <w:rPr>
          <w:rFonts w:ascii="Times New Roman" w:hAnsi="Times New Roman" w:eastAsia="宋体"/>
          <w:sz w:val="24"/>
          <w:szCs w:val="24"/>
        </w:rPr>
      </w:pPr>
    </w:p>
    <w:p>
      <w:pPr>
        <w:spacing w:line="420" w:lineRule="exact"/>
        <w:jc w:val="right"/>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wordWrap w:val="0"/>
        <w:spacing w:line="420" w:lineRule="exact"/>
        <w:jc w:val="right"/>
        <w:rPr>
          <w:rFonts w:ascii="Times New Roman" w:hAnsi="Times New Roman" w:eastAsia="宋体"/>
          <w:sz w:val="24"/>
          <w:szCs w:val="24"/>
        </w:rPr>
      </w:pPr>
      <w:r>
        <w:rPr>
          <w:rFonts w:ascii="Times New Roman" w:hAnsi="Times New Roman" w:eastAsia="宋体"/>
          <w:sz w:val="24"/>
          <w:szCs w:val="24"/>
        </w:rPr>
        <w:t>招标办公室</w:t>
      </w:r>
      <w:r>
        <w:rPr>
          <w:rFonts w:hint="eastAsia" w:ascii="Times New Roman" w:hAnsi="Times New Roman" w:eastAsia="宋体"/>
          <w:sz w:val="24"/>
          <w:szCs w:val="24"/>
        </w:rPr>
        <w:t>　　　　</w:t>
      </w:r>
    </w:p>
    <w:p>
      <w:pPr>
        <w:wordWrap w:val="0"/>
        <w:spacing w:line="420" w:lineRule="exact"/>
        <w:jc w:val="right"/>
        <w:rPr>
          <w:rFonts w:ascii="Times New Roman" w:hAnsi="Times New Roman" w:eastAsia="宋体"/>
          <w:bCs/>
          <w:sz w:val="24"/>
          <w:szCs w:val="24"/>
        </w:rPr>
      </w:pPr>
      <w:r>
        <w:rPr>
          <w:rFonts w:ascii="Times New Roman" w:hAnsi="Times New Roman" w:eastAsia="宋体"/>
          <w:sz w:val="24"/>
          <w:szCs w:val="24"/>
        </w:rPr>
        <w:t>20</w:t>
      </w:r>
      <w:r>
        <w:rPr>
          <w:rFonts w:hint="eastAsia" w:ascii="Times New Roman" w:hAnsi="Times New Roman" w:eastAsia="宋体"/>
          <w:sz w:val="24"/>
          <w:szCs w:val="24"/>
        </w:rPr>
        <w:t>22</w:t>
      </w:r>
      <w:r>
        <w:rPr>
          <w:rFonts w:ascii="Times New Roman" w:hAnsi="Times New Roman" w:eastAsia="宋体"/>
          <w:sz w:val="24"/>
          <w:szCs w:val="24"/>
        </w:rPr>
        <w:t>年</w:t>
      </w:r>
      <w:r>
        <w:rPr>
          <w:rFonts w:hint="eastAsia" w:ascii="Times New Roman" w:hAnsi="Times New Roman" w:eastAsia="宋体"/>
          <w:sz w:val="24"/>
          <w:szCs w:val="24"/>
        </w:rPr>
        <w:t>11</w:t>
      </w:r>
      <w:r>
        <w:rPr>
          <w:rFonts w:ascii="Times New Roman" w:hAnsi="Times New Roman" w:eastAsia="宋体"/>
          <w:sz w:val="24"/>
          <w:szCs w:val="24"/>
        </w:rPr>
        <w:t>月</w:t>
      </w:r>
      <w:r>
        <w:rPr>
          <w:rFonts w:hint="eastAsia" w:ascii="Times New Roman" w:hAnsi="Times New Roman" w:eastAsia="宋体"/>
          <w:sz w:val="24"/>
          <w:szCs w:val="24"/>
        </w:rPr>
        <w:t>10</w:t>
      </w:r>
      <w:r>
        <w:rPr>
          <w:rFonts w:ascii="Times New Roman" w:hAnsi="Times New Roman" w:eastAsia="宋体"/>
          <w:sz w:val="24"/>
          <w:szCs w:val="24"/>
        </w:rPr>
        <w:t>日</w:t>
      </w:r>
      <w:r>
        <w:rPr>
          <w:rFonts w:hint="eastAsia" w:ascii="Times New Roman" w:hAnsi="Times New Roman" w:eastAsia="宋体"/>
          <w:sz w:val="24"/>
          <w:szCs w:val="24"/>
        </w:rPr>
        <w:t>　　　</w:t>
      </w: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br w:type="page"/>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附件1：法定代表人授权书（格式）</w:t>
      </w:r>
    </w:p>
    <w:p>
      <w:pPr>
        <w:spacing w:line="420" w:lineRule="exact"/>
        <w:rPr>
          <w:rFonts w:ascii="Times New Roman" w:hAnsi="Times New Roman" w:eastAsia="宋体" w:cs="Times New Roman"/>
          <w:bCs/>
          <w:sz w:val="24"/>
          <w:szCs w:val="24"/>
        </w:rPr>
      </w:pPr>
    </w:p>
    <w:p>
      <w:pPr>
        <w:spacing w:afterLines="50" w:line="420" w:lineRule="exact"/>
        <w:jc w:val="center"/>
        <w:rPr>
          <w:rFonts w:ascii="Times New Roman" w:hAnsi="Times New Roman" w:eastAsia="宋体" w:cs="Times New Roman"/>
          <w:b/>
          <w:bCs/>
          <w:sz w:val="28"/>
          <w:szCs w:val="28"/>
        </w:rPr>
      </w:pPr>
      <w:r>
        <w:rPr>
          <w:rFonts w:hint="eastAsia" w:ascii="Times New Roman" w:hAnsi="Times New Roman" w:eastAsia="宋体" w:cs="Times New Roman"/>
          <w:b/>
          <w:bCs/>
          <w:spacing w:val="20"/>
          <w:sz w:val="28"/>
          <w:szCs w:val="28"/>
        </w:rPr>
        <w:t>法定代表人授权书</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（招标人名称）　　　　</w:t>
      </w:r>
      <w:r>
        <w:rPr>
          <w:rFonts w:hint="eastAsia" w:ascii="Times New Roman" w:hAnsi="Times New Roman" w:eastAsia="宋体" w:cs="Times New Roman"/>
          <w:bCs/>
          <w:sz w:val="24"/>
          <w:szCs w:val="24"/>
        </w:rPr>
        <w:t>：</w:t>
      </w:r>
    </w:p>
    <w:p>
      <w:pPr>
        <w:spacing w:line="420" w:lineRule="exact"/>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（投标人全称）　　</w:t>
      </w:r>
      <w:r>
        <w:rPr>
          <w:rFonts w:hint="eastAsia" w:ascii="Times New Roman" w:hAnsi="Times New Roman" w:eastAsia="宋体" w:cs="Times New Roman"/>
          <w:bCs/>
          <w:sz w:val="24"/>
          <w:szCs w:val="24"/>
        </w:rPr>
        <w:t>法定代表人</w:t>
      </w:r>
      <w:r>
        <w:rPr>
          <w:rFonts w:hint="eastAsia" w:ascii="Times New Roman" w:hAnsi="Times New Roman" w:eastAsia="宋体" w:cs="Times New Roman"/>
          <w:bCs/>
          <w:sz w:val="24"/>
          <w:szCs w:val="24"/>
          <w:u w:val="single"/>
        </w:rPr>
        <w:t>　（姓名）　</w:t>
      </w:r>
      <w:r>
        <w:rPr>
          <w:rFonts w:hint="eastAsia" w:ascii="Times New Roman" w:hAnsi="Times New Roman" w:eastAsia="宋体" w:cs="Times New Roman"/>
          <w:bCs/>
          <w:sz w:val="24"/>
          <w:szCs w:val="24"/>
        </w:rPr>
        <w:t>授权</w:t>
      </w:r>
      <w:r>
        <w:rPr>
          <w:rFonts w:hint="eastAsia" w:ascii="Times New Roman" w:hAnsi="Times New Roman" w:eastAsia="宋体" w:cs="Times New Roman"/>
          <w:bCs/>
          <w:sz w:val="24"/>
          <w:szCs w:val="24"/>
          <w:u w:val="single"/>
        </w:rPr>
        <w:t>　（投标人代表姓名）　</w:t>
      </w:r>
      <w:r>
        <w:rPr>
          <w:rFonts w:hint="eastAsia" w:ascii="Times New Roman" w:hAnsi="Times New Roman" w:eastAsia="宋体" w:cs="Times New Roman"/>
          <w:bCs/>
          <w:sz w:val="24"/>
          <w:szCs w:val="24"/>
        </w:rPr>
        <w:t>为投标人代表，代表本公司参加贵处组织的</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项目（招标编号</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20" w:lineRule="exact"/>
        <w:rPr>
          <w:rFonts w:ascii="Times New Roman" w:hAnsi="Times New Roman" w:eastAsia="宋体" w:cs="Times New Roman"/>
          <w:bCs/>
          <w:sz w:val="24"/>
          <w:szCs w:val="24"/>
        </w:rPr>
      </w:pP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性别：</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身份证号：</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部门：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职务：</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详细通讯地址：</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邮政编码：</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电话：</w:t>
      </w:r>
      <w:r>
        <w:rPr>
          <w:rFonts w:hint="eastAsia" w:ascii="Times New Roman" w:hAnsi="Times New Roman" w:eastAsia="宋体" w:cs="Times New Roman"/>
          <w:bCs/>
          <w:sz w:val="24"/>
          <w:szCs w:val="24"/>
          <w:u w:val="single"/>
        </w:rPr>
        <w:t>　　　　　　　　　　</w:t>
      </w:r>
    </w:p>
    <w:p>
      <w:pPr>
        <w:spacing w:line="420" w:lineRule="exact"/>
        <w:rPr>
          <w:rFonts w:ascii="Times New Roman" w:hAnsi="Times New Roman" w:eastAsia="宋体" w:cs="Times New Roman"/>
          <w:b/>
          <w:bCs/>
          <w:sz w:val="24"/>
          <w:szCs w:val="24"/>
        </w:rPr>
      </w:pPr>
    </w:p>
    <w:p>
      <w:pPr>
        <w:spacing w:line="42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授权方</w:t>
      </w:r>
    </w:p>
    <w:p>
      <w:pPr>
        <w:spacing w:line="42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投标人名称：</w:t>
      </w:r>
      <w:r>
        <w:rPr>
          <w:rFonts w:hint="eastAsia" w:ascii="Times New Roman" w:hAnsi="Times New Roman" w:eastAsia="宋体" w:cs="Times New Roman"/>
          <w:bCs/>
          <w:sz w:val="24"/>
          <w:szCs w:val="24"/>
          <w:u w:val="single"/>
        </w:rPr>
        <w:t>　　（全称并加盖公章）　</w:t>
      </w:r>
    </w:p>
    <w:p>
      <w:pPr>
        <w:spacing w:line="42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法定代表人签字或盖章：</w:t>
      </w:r>
      <w:r>
        <w:rPr>
          <w:rFonts w:hint="eastAsia" w:ascii="Times New Roman" w:hAnsi="Times New Roman" w:eastAsia="宋体" w:cs="Times New Roman"/>
          <w:bCs/>
          <w:sz w:val="24"/>
          <w:szCs w:val="24"/>
          <w:u w:val="single"/>
        </w:rPr>
        <w:t>　　　　　　　</w:t>
      </w:r>
    </w:p>
    <w:p>
      <w:pPr>
        <w:spacing w:line="420" w:lineRule="exact"/>
        <w:ind w:firstLine="4320" w:firstLineChars="1800"/>
        <w:rPr>
          <w:rFonts w:ascii="Times New Roman" w:hAnsi="Times New Roman" w:eastAsia="宋体" w:cs="Times New Roman"/>
          <w:bCs/>
          <w:sz w:val="24"/>
          <w:szCs w:val="24"/>
          <w:u w:val="single"/>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spacing w:line="420" w:lineRule="exact"/>
        <w:ind w:firstLine="4337" w:firstLineChars="1800"/>
        <w:rPr>
          <w:rFonts w:ascii="Times New Roman" w:hAnsi="Times New Roman" w:eastAsia="宋体" w:cs="Times New Roman"/>
          <w:b/>
          <w:bCs/>
          <w:sz w:val="24"/>
          <w:szCs w:val="24"/>
        </w:rPr>
      </w:pPr>
    </w:p>
    <w:p>
      <w:pPr>
        <w:spacing w:line="42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接受授权方</w:t>
      </w:r>
    </w:p>
    <w:p>
      <w:pPr>
        <w:spacing w:line="420" w:lineRule="exact"/>
        <w:ind w:firstLine="4320" w:firstLineChars="1800"/>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投标人代表签字：</w:t>
      </w:r>
      <w:r>
        <w:rPr>
          <w:rFonts w:hint="eastAsia" w:ascii="Times New Roman" w:hAnsi="Times New Roman" w:eastAsia="宋体" w:cs="Times New Roman"/>
          <w:bCs/>
          <w:sz w:val="24"/>
          <w:szCs w:val="24"/>
          <w:u w:val="single"/>
        </w:rPr>
        <w:t>　　　　　　　　　　</w:t>
      </w:r>
    </w:p>
    <w:p>
      <w:pPr>
        <w:spacing w:line="420" w:lineRule="exact"/>
        <w:ind w:firstLine="4320" w:firstLineChars="1800"/>
        <w:rPr>
          <w:rFonts w:ascii="Times New Roman" w:hAnsi="Times New Roman" w:eastAsia="宋体"/>
          <w:sz w:val="24"/>
          <w:szCs w:val="24"/>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2SB280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6A33A8B"/>
    <w:rsid w:val="17E62151"/>
    <w:rsid w:val="19CF43E9"/>
    <w:rsid w:val="19D304ED"/>
    <w:rsid w:val="1A413D1B"/>
    <w:rsid w:val="1C857027"/>
    <w:rsid w:val="1D1A1A49"/>
    <w:rsid w:val="1FDC0B0B"/>
    <w:rsid w:val="1FF477CC"/>
    <w:rsid w:val="20287CB8"/>
    <w:rsid w:val="22A1546C"/>
    <w:rsid w:val="24C550DC"/>
    <w:rsid w:val="24CA313E"/>
    <w:rsid w:val="26A9561F"/>
    <w:rsid w:val="2ACE7F9E"/>
    <w:rsid w:val="2BC45956"/>
    <w:rsid w:val="2C525A9B"/>
    <w:rsid w:val="2D6E3876"/>
    <w:rsid w:val="2D91433C"/>
    <w:rsid w:val="2EA81856"/>
    <w:rsid w:val="301B3B01"/>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7D7A77"/>
    <w:rsid w:val="47BB01F2"/>
    <w:rsid w:val="47C60904"/>
    <w:rsid w:val="48571F9B"/>
    <w:rsid w:val="485A1FE6"/>
    <w:rsid w:val="494848CE"/>
    <w:rsid w:val="4ACF470A"/>
    <w:rsid w:val="50635474"/>
    <w:rsid w:val="510D00AA"/>
    <w:rsid w:val="55867334"/>
    <w:rsid w:val="574E15B7"/>
    <w:rsid w:val="5BD62F32"/>
    <w:rsid w:val="5D785372"/>
    <w:rsid w:val="5DAE499A"/>
    <w:rsid w:val="5F194A83"/>
    <w:rsid w:val="5F6F0FB4"/>
    <w:rsid w:val="610928EA"/>
    <w:rsid w:val="62A84C8F"/>
    <w:rsid w:val="63A30CC0"/>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8763E64"/>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2022-11-11T08:40:11Z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